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C3E05" w14:textId="737A83B6" w:rsidR="00FB0C93" w:rsidRDefault="00FB0C93" w:rsidP="00FB0C93">
      <w:pPr>
        <w:spacing w:after="0"/>
        <w:jc w:val="center"/>
        <w:rPr>
          <w:rFonts w:cs="Arial"/>
          <w:b/>
          <w:bCs/>
          <w:color w:val="213C27"/>
          <w:sz w:val="48"/>
          <w:szCs w:val="48"/>
        </w:rPr>
      </w:pPr>
    </w:p>
    <w:p w14:paraId="101F62D0" w14:textId="77777777" w:rsidR="00FB0C93" w:rsidRDefault="00FB0C93" w:rsidP="00FB0C93">
      <w:pPr>
        <w:spacing w:after="0"/>
        <w:jc w:val="center"/>
        <w:rPr>
          <w:rFonts w:cs="Arial"/>
          <w:b/>
          <w:bCs/>
          <w:color w:val="213C27"/>
          <w:sz w:val="48"/>
          <w:szCs w:val="48"/>
        </w:rPr>
      </w:pPr>
    </w:p>
    <w:p w14:paraId="41105698" w14:textId="24C40C7A" w:rsidR="00FB0C93" w:rsidRPr="000A0134" w:rsidRDefault="00FB0C93" w:rsidP="00FB0C93">
      <w:pPr>
        <w:spacing w:after="0"/>
        <w:jc w:val="center"/>
        <w:rPr>
          <w:rFonts w:cs="Arial"/>
          <w:b/>
          <w:bCs/>
          <w:color w:val="538135" w:themeColor="accent6" w:themeShade="BF"/>
          <w:sz w:val="48"/>
          <w:szCs w:val="48"/>
        </w:rPr>
      </w:pPr>
      <w:r w:rsidRPr="000A0134">
        <w:rPr>
          <w:rFonts w:cs="Arial"/>
          <w:b/>
          <w:bCs/>
          <w:color w:val="538135" w:themeColor="accent6" w:themeShade="BF"/>
          <w:sz w:val="48"/>
          <w:szCs w:val="48"/>
        </w:rPr>
        <w:t>Safeguarding children and young people’s privacy in New Zealand</w:t>
      </w:r>
    </w:p>
    <w:p w14:paraId="75576063" w14:textId="77777777" w:rsidR="00FB0C93" w:rsidRPr="000A0134" w:rsidRDefault="00FB0C93" w:rsidP="00FB0C93">
      <w:pPr>
        <w:spacing w:after="0"/>
        <w:jc w:val="center"/>
        <w:rPr>
          <w:rFonts w:cs="Arial"/>
          <w:b/>
          <w:bCs/>
          <w:color w:val="538135" w:themeColor="accent6" w:themeShade="BF"/>
          <w:sz w:val="48"/>
          <w:szCs w:val="48"/>
        </w:rPr>
      </w:pPr>
    </w:p>
    <w:p w14:paraId="7E67FBA1" w14:textId="02B53B02" w:rsidR="00FB0C93" w:rsidRPr="000A0134" w:rsidRDefault="00FB0C93" w:rsidP="00FB0C93">
      <w:pPr>
        <w:spacing w:after="0"/>
        <w:jc w:val="center"/>
        <w:rPr>
          <w:rFonts w:cs="Arial"/>
          <w:b/>
          <w:bCs/>
          <w:color w:val="538135" w:themeColor="accent6" w:themeShade="BF"/>
          <w:sz w:val="40"/>
          <w:szCs w:val="40"/>
        </w:rPr>
      </w:pPr>
      <w:r w:rsidRPr="000A0134">
        <w:rPr>
          <w:rFonts w:cs="Arial"/>
          <w:b/>
          <w:bCs/>
          <w:color w:val="538135" w:themeColor="accent6" w:themeShade="BF"/>
          <w:sz w:val="40"/>
          <w:szCs w:val="40"/>
        </w:rPr>
        <w:t>April 2024</w:t>
      </w:r>
    </w:p>
    <w:p w14:paraId="5A3D580E" w14:textId="0F2D41E9" w:rsidR="00FB0C93" w:rsidRPr="00B97829" w:rsidRDefault="00FB0C93" w:rsidP="00FB0C93">
      <w:pPr>
        <w:spacing w:after="0"/>
        <w:jc w:val="center"/>
        <w:rPr>
          <w:rFonts w:cs="Arial"/>
          <w:b/>
          <w:bCs/>
          <w:color w:val="213C27"/>
          <w:sz w:val="48"/>
          <w:szCs w:val="48"/>
        </w:rPr>
      </w:pPr>
      <w:r>
        <w:rPr>
          <w:rFonts w:cs="Arial"/>
          <w:b/>
          <w:bCs/>
          <w:noProof/>
          <w:color w:val="FFC000"/>
          <w:sz w:val="28"/>
          <w:szCs w:val="28"/>
        </w:rPr>
        <w:drawing>
          <wp:anchor distT="0" distB="0" distL="114300" distR="114300" simplePos="0" relativeHeight="251661312" behindDoc="0" locked="0" layoutInCell="1" allowOverlap="1" wp14:anchorId="0ACB794B" wp14:editId="00C67D8E">
            <wp:simplePos x="0" y="0"/>
            <wp:positionH relativeFrom="page">
              <wp:align>right</wp:align>
            </wp:positionH>
            <wp:positionV relativeFrom="page">
              <wp:align>bottom</wp:align>
            </wp:positionV>
            <wp:extent cx="7559040" cy="6040755"/>
            <wp:effectExtent l="0" t="0" r="3810" b="0"/>
            <wp:wrapSquare wrapText="bothSides"/>
            <wp:docPr id="1334390059" name="Picture 4" descr="A green squares on a white background with an adult hand holding a child's ha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90059" name="Picture 4" descr="A green squares on a white background with an adult hand holding a child's hand.&#10;&#10;"/>
                    <pic:cNvPicPr/>
                  </pic:nvPicPr>
                  <pic:blipFill rotWithShape="1">
                    <a:blip r:embed="rId9" cstate="print">
                      <a:extLst>
                        <a:ext uri="{28A0092B-C50C-407E-A947-70E740481C1C}">
                          <a14:useLocalDpi xmlns:a14="http://schemas.microsoft.com/office/drawing/2010/main" val="0"/>
                        </a:ext>
                      </a:extLst>
                    </a:blip>
                    <a:srcRect t="55050"/>
                    <a:stretch/>
                  </pic:blipFill>
                  <pic:spPr bwMode="auto">
                    <a:xfrm>
                      <a:off x="0" y="0"/>
                      <a:ext cx="7559040" cy="6040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8C4C93" w14:textId="784B1D07" w:rsidR="00FB0C93" w:rsidRDefault="00FB0C93" w:rsidP="00FB0C93">
      <w:pPr>
        <w:spacing w:after="0"/>
        <w:rPr>
          <w:rFonts w:cs="Arial"/>
          <w:b/>
          <w:bCs/>
          <w:sz w:val="28"/>
          <w:szCs w:val="28"/>
          <w:highlight w:val="yellow"/>
        </w:rPr>
      </w:pPr>
    </w:p>
    <w:p w14:paraId="3577FF2A" w14:textId="58AEEDC8" w:rsidR="00AA030E" w:rsidRPr="00D05DFD" w:rsidRDefault="00AA030E" w:rsidP="00D05DFD">
      <w:pPr>
        <w:pStyle w:val="Style1"/>
      </w:pPr>
      <w:r w:rsidRPr="00FB0C93">
        <w:t>Summary of consultation</w:t>
      </w:r>
    </w:p>
    <w:p w14:paraId="676C02A1" w14:textId="52F5A998" w:rsidR="00A07747" w:rsidRPr="00960A74" w:rsidRDefault="00A07747" w:rsidP="009B4A95">
      <w:pPr>
        <w:spacing w:afterLines="120" w:after="288"/>
        <w:rPr>
          <w:rFonts w:cs="Arial"/>
          <w:b/>
          <w:bCs/>
          <w:color w:val="213C27"/>
          <w:szCs w:val="24"/>
        </w:rPr>
      </w:pPr>
      <w:r w:rsidRPr="00960A74">
        <w:rPr>
          <w:rFonts w:cs="Arial"/>
          <w:b/>
          <w:bCs/>
          <w:color w:val="213C27"/>
          <w:szCs w:val="24"/>
        </w:rPr>
        <w:t>Executive summary</w:t>
      </w:r>
    </w:p>
    <w:p w14:paraId="4670B433" w14:textId="39E9F6A3" w:rsidR="0095585E" w:rsidRDefault="0092667E" w:rsidP="009B4A95">
      <w:pPr>
        <w:spacing w:afterLines="120" w:after="288"/>
      </w:pPr>
      <w:r w:rsidRPr="00960A74">
        <w:t xml:space="preserve">Between August and November 2023, the Office of the Privacy Commissioner asked </w:t>
      </w:r>
      <w:r w:rsidR="00B70ED6" w:rsidRPr="00960A74">
        <w:t xml:space="preserve">key </w:t>
      </w:r>
      <w:r w:rsidRPr="00960A74">
        <w:t xml:space="preserve">stakeholders for their thoughts on children and young people’s privacy in New Zealand. </w:t>
      </w:r>
    </w:p>
    <w:p w14:paraId="7486B884" w14:textId="25474334" w:rsidR="00960A74" w:rsidRPr="00960A74" w:rsidRDefault="0092667E" w:rsidP="009B4A95">
      <w:pPr>
        <w:spacing w:afterLines="120" w:after="288"/>
      </w:pPr>
      <w:r w:rsidRPr="00960A74">
        <w:t xml:space="preserve">We received </w:t>
      </w:r>
      <w:r w:rsidR="002B64E0" w:rsidRPr="00960A74">
        <w:t xml:space="preserve">a total of </w:t>
      </w:r>
      <w:r w:rsidRPr="00960A74">
        <w:t xml:space="preserve">113 responses from government agencies, professionals who work with children, academics, and non-governmental organisations who advocate for </w:t>
      </w:r>
      <w:r w:rsidR="00960A74">
        <w:t>tamariki/</w:t>
      </w:r>
      <w:r w:rsidRPr="00960A74">
        <w:t xml:space="preserve">children and </w:t>
      </w:r>
      <w:r w:rsidR="00960A74" w:rsidRPr="00960A74">
        <w:t>rangatahi/</w:t>
      </w:r>
      <w:r w:rsidRPr="00960A74">
        <w:t xml:space="preserve">young people. Responses were received in the form of full written submissions and </w:t>
      </w:r>
      <w:r w:rsidR="00960A74">
        <w:t>through</w:t>
      </w:r>
      <w:r w:rsidRPr="00960A74">
        <w:t xml:space="preserve"> our online survey.</w:t>
      </w:r>
    </w:p>
    <w:p w14:paraId="71BB7CA4" w14:textId="4048ACAC" w:rsidR="0092667E" w:rsidRDefault="0092667E" w:rsidP="009B4A95">
      <w:pPr>
        <w:spacing w:afterLines="120" w:after="288"/>
      </w:pPr>
      <w:r w:rsidRPr="00960A74">
        <w:t xml:space="preserve">This report summarises </w:t>
      </w:r>
      <w:r w:rsidR="009F52E7" w:rsidRPr="00960A74">
        <w:t>the key themes from submissions we received</w:t>
      </w:r>
      <w:r w:rsidR="00D827A1" w:rsidRPr="00960A74">
        <w:t>,</w:t>
      </w:r>
      <w:r w:rsidR="009F52E7" w:rsidRPr="00960A74">
        <w:t xml:space="preserve"> </w:t>
      </w:r>
      <w:r w:rsidR="00D827A1" w:rsidRPr="00960A74">
        <w:t xml:space="preserve">it </w:t>
      </w:r>
      <w:r w:rsidR="009F52E7" w:rsidRPr="00960A74">
        <w:t xml:space="preserve">will </w:t>
      </w:r>
      <w:r w:rsidR="00D827A1" w:rsidRPr="00960A74">
        <w:t xml:space="preserve">help </w:t>
      </w:r>
      <w:r w:rsidR="009F52E7" w:rsidRPr="00960A74">
        <w:t xml:space="preserve">inform the </w:t>
      </w:r>
      <w:r w:rsidR="00D827A1" w:rsidRPr="00960A74">
        <w:t xml:space="preserve">future direction of </w:t>
      </w:r>
      <w:r w:rsidR="00960A74">
        <w:t>our</w:t>
      </w:r>
      <w:r w:rsidR="009F52E7" w:rsidRPr="00960A74">
        <w:t xml:space="preserve"> work on children’s privacy, as further work is done to explore the issues in more detail</w:t>
      </w:r>
      <w:r w:rsidRPr="00960A74">
        <w:t>.</w:t>
      </w:r>
    </w:p>
    <w:p w14:paraId="1A227377" w14:textId="3847E853" w:rsidR="0092667E" w:rsidRPr="00960A74" w:rsidRDefault="0092667E" w:rsidP="009B4A95">
      <w:pPr>
        <w:spacing w:afterLines="120" w:after="288"/>
      </w:pPr>
      <w:r w:rsidRPr="00960A74">
        <w:t>Three key themes emerged from the submissions:</w:t>
      </w:r>
    </w:p>
    <w:p w14:paraId="61F18610" w14:textId="4F0E0229" w:rsidR="0092667E" w:rsidRPr="00960A74" w:rsidRDefault="0092667E" w:rsidP="009B4A95">
      <w:pPr>
        <w:pStyle w:val="ListParagraph"/>
        <w:numPr>
          <w:ilvl w:val="0"/>
          <w:numId w:val="20"/>
        </w:numPr>
        <w:spacing w:afterLines="120" w:after="288"/>
        <w:ind w:left="714" w:hanging="357"/>
      </w:pPr>
      <w:r w:rsidRPr="00960A74">
        <w:t>Guidance is needed to help professionals, parents, and children better understand the privacy rules that are currently in place.</w:t>
      </w:r>
    </w:p>
    <w:p w14:paraId="66BD39EC" w14:textId="0450FD32" w:rsidR="0092667E" w:rsidRPr="00960A74" w:rsidRDefault="0092667E" w:rsidP="009B4A95">
      <w:pPr>
        <w:pStyle w:val="ListParagraph"/>
        <w:numPr>
          <w:ilvl w:val="0"/>
          <w:numId w:val="20"/>
        </w:numPr>
        <w:spacing w:afterLines="120" w:after="288"/>
        <w:ind w:left="714" w:hanging="357"/>
      </w:pPr>
      <w:r w:rsidRPr="00960A74">
        <w:t>Some regulatory changes could better protect children’s privacy, including changing the Privacy Act to include a right to be forgotten, introducing a requirement to consider the best interests of the child, among others</w:t>
      </w:r>
      <w:r w:rsidR="009F52E7" w:rsidRPr="00960A74">
        <w:t>, or creating a code of practice to make changes</w:t>
      </w:r>
      <w:r w:rsidR="00D264CD">
        <w:t xml:space="preserve"> to the rules</w:t>
      </w:r>
      <w:r w:rsidRPr="00960A74">
        <w:t>.</w:t>
      </w:r>
    </w:p>
    <w:p w14:paraId="3C36DF7E" w14:textId="30E3F8AD" w:rsidR="00960A74" w:rsidRPr="009B4A95" w:rsidRDefault="0092667E" w:rsidP="009B4A95">
      <w:pPr>
        <w:pStyle w:val="ListParagraph"/>
        <w:numPr>
          <w:ilvl w:val="0"/>
          <w:numId w:val="20"/>
        </w:numPr>
        <w:spacing w:afterLines="120" w:after="288" w:line="259" w:lineRule="auto"/>
        <w:ind w:left="714" w:hanging="357"/>
        <w:rPr>
          <w:sz w:val="22"/>
        </w:rPr>
      </w:pPr>
      <w:r w:rsidRPr="00960A74">
        <w:t>Social media is a foremost concern, and a combination of guidance and regulatory changes are needed to manage this risk to children’s privacy.</w:t>
      </w:r>
    </w:p>
    <w:p w14:paraId="5353DF2B" w14:textId="77777777" w:rsidR="00960A74" w:rsidRDefault="00960A74" w:rsidP="00FB0C93">
      <w:pPr>
        <w:spacing w:after="0"/>
        <w:rPr>
          <w:rFonts w:cs="Arial"/>
          <w:b/>
          <w:bCs/>
          <w:szCs w:val="24"/>
        </w:rPr>
      </w:pPr>
    </w:p>
    <w:p w14:paraId="3AA0CC2F" w14:textId="2028ABCF" w:rsidR="00A07747" w:rsidRPr="0095585E" w:rsidRDefault="00A07747" w:rsidP="0095585E">
      <w:pPr>
        <w:pStyle w:val="Style1"/>
      </w:pPr>
      <w:r w:rsidRPr="0095585E">
        <w:t>Introduction</w:t>
      </w:r>
    </w:p>
    <w:p w14:paraId="0777F9C7" w14:textId="49E4F6E2" w:rsidR="00960A74" w:rsidRPr="00D05DFD" w:rsidRDefault="0022790A" w:rsidP="009B4A95">
      <w:pPr>
        <w:spacing w:afterLines="120" w:after="288"/>
      </w:pPr>
      <w:r w:rsidRPr="0095585E">
        <w:t>Tamariki</w:t>
      </w:r>
      <w:r w:rsidR="00960A74" w:rsidRPr="0095585E">
        <w:t>/children</w:t>
      </w:r>
      <w:r w:rsidRPr="0095585E">
        <w:t xml:space="preserve"> and rangatahi/</w:t>
      </w:r>
      <w:r w:rsidR="0043217B" w:rsidRPr="0095585E">
        <w:t xml:space="preserve">young people in New Zealand </w:t>
      </w:r>
      <w:r w:rsidR="0033400C" w:rsidRPr="0095585E">
        <w:t xml:space="preserve">have the same privacy rights as </w:t>
      </w:r>
      <w:r w:rsidR="001741E4" w:rsidRPr="0095585E">
        <w:t>adults and</w:t>
      </w:r>
      <w:r w:rsidR="0033400C" w:rsidRPr="0095585E">
        <w:t xml:space="preserve"> can expect that their personal information will be respected and looked after by organisations. However, </w:t>
      </w:r>
      <w:r w:rsidRPr="0095585E">
        <w:t>tamariki/</w:t>
      </w:r>
      <w:r w:rsidR="0033400C" w:rsidRPr="0095585E">
        <w:t>children</w:t>
      </w:r>
      <w:r w:rsidR="003F0EE4" w:rsidRPr="0095585E">
        <w:t xml:space="preserve"> </w:t>
      </w:r>
      <w:r w:rsidR="0033400C" w:rsidRPr="0095585E">
        <w:t xml:space="preserve">are more vulnerable to privacy harms, and so they require additional care to ensure that their </w:t>
      </w:r>
      <w:r w:rsidR="0033400C" w:rsidRPr="0095585E">
        <w:lastRenderedPageBreak/>
        <w:t>privacy is protected</w:t>
      </w:r>
      <w:r w:rsidR="00EE7A5F" w:rsidRPr="0095585E">
        <w:t>, especially in the changing environment where we see children using social media and artificial intelligence tools</w:t>
      </w:r>
      <w:r w:rsidR="0033400C" w:rsidRPr="0095585E">
        <w:t xml:space="preserve">. </w:t>
      </w:r>
    </w:p>
    <w:p w14:paraId="416905D4" w14:textId="6FE02526" w:rsidR="00960A74" w:rsidRPr="00D05DFD" w:rsidRDefault="00960A74" w:rsidP="009B4A95">
      <w:pPr>
        <w:spacing w:afterLines="120" w:after="288" w:line="259" w:lineRule="auto"/>
        <w:rPr>
          <w:rFonts w:cs="Arial"/>
        </w:rPr>
      </w:pPr>
      <w:r>
        <w:rPr>
          <w:rFonts w:cs="Arial"/>
        </w:rPr>
        <w:t>We are looking</w:t>
      </w:r>
      <w:r w:rsidR="0033400C" w:rsidRPr="00960A74">
        <w:rPr>
          <w:rFonts w:cs="Arial"/>
        </w:rPr>
        <w:t xml:space="preserve"> at the current </w:t>
      </w:r>
      <w:r w:rsidR="00A525B4" w:rsidRPr="00960A74">
        <w:rPr>
          <w:rFonts w:cs="Arial"/>
        </w:rPr>
        <w:t xml:space="preserve">suite of </w:t>
      </w:r>
      <w:r w:rsidR="0033400C" w:rsidRPr="00960A74">
        <w:rPr>
          <w:rFonts w:cs="Arial"/>
        </w:rPr>
        <w:t>laws</w:t>
      </w:r>
      <w:r w:rsidR="00A525B4" w:rsidRPr="00960A74">
        <w:rPr>
          <w:rFonts w:cs="Arial"/>
        </w:rPr>
        <w:t>,</w:t>
      </w:r>
      <w:r w:rsidR="0033400C" w:rsidRPr="00960A74">
        <w:rPr>
          <w:rFonts w:cs="Arial"/>
        </w:rPr>
        <w:t xml:space="preserve"> </w:t>
      </w:r>
      <w:proofErr w:type="gramStart"/>
      <w:r w:rsidR="0033400C" w:rsidRPr="00960A74">
        <w:rPr>
          <w:rFonts w:cs="Arial"/>
        </w:rPr>
        <w:t>regulations</w:t>
      </w:r>
      <w:proofErr w:type="gramEnd"/>
      <w:r w:rsidR="00A525B4" w:rsidRPr="00960A74">
        <w:rPr>
          <w:rFonts w:cs="Arial"/>
        </w:rPr>
        <w:t xml:space="preserve"> and guidance,</w:t>
      </w:r>
      <w:r w:rsidR="0033400C" w:rsidRPr="00960A74">
        <w:rPr>
          <w:rFonts w:cs="Arial"/>
        </w:rPr>
        <w:t xml:space="preserve"> to consider whether they are working well now and in the future.</w:t>
      </w:r>
    </w:p>
    <w:p w14:paraId="37A9C57E" w14:textId="52414E0E" w:rsidR="00960A74" w:rsidRPr="00960A74" w:rsidRDefault="0033400C" w:rsidP="009B4A95">
      <w:pPr>
        <w:spacing w:afterLines="120" w:after="288"/>
      </w:pPr>
      <w:r w:rsidRPr="00960A74">
        <w:t xml:space="preserve">From August to November 2023, we asked stakeholders for their thoughts on </w:t>
      </w:r>
      <w:r w:rsidR="0022790A" w:rsidRPr="00960A74">
        <w:t>tamariki and rangatahi/</w:t>
      </w:r>
      <w:r w:rsidRPr="00960A74">
        <w:t xml:space="preserve">children and young people’s privacy in New Zealand. This report summarises the feedback we received. We have referred to </w:t>
      </w:r>
      <w:r w:rsidR="00960A74">
        <w:t>tamariki/children</w:t>
      </w:r>
      <w:r w:rsidR="0022790A" w:rsidRPr="00960A74">
        <w:t xml:space="preserve"> and rangatahi/</w:t>
      </w:r>
      <w:r w:rsidRPr="00960A74">
        <w:t xml:space="preserve">young people in this report as </w:t>
      </w:r>
      <w:r w:rsidR="0022790A" w:rsidRPr="00960A74">
        <w:t>‘tamariki/</w:t>
      </w:r>
      <w:r w:rsidRPr="00960A74">
        <w:t xml:space="preserve">children’, and what we mean by this is any person under the age of 18. </w:t>
      </w:r>
    </w:p>
    <w:p w14:paraId="3A333364" w14:textId="0BA32555" w:rsidR="009F7F32" w:rsidRPr="00960A74" w:rsidRDefault="00A07747" w:rsidP="009B4A95">
      <w:pPr>
        <w:spacing w:afterLines="120" w:after="288"/>
        <w:sectPr w:rsidR="009F7F32" w:rsidRPr="00960A74" w:rsidSect="00D635D2">
          <w:headerReference w:type="default" r:id="rId10"/>
          <w:footerReference w:type="default" r:id="rId11"/>
          <w:pgSz w:w="11906" w:h="16838"/>
          <w:pgMar w:top="1440" w:right="1440" w:bottom="1440" w:left="1440" w:header="708" w:footer="708" w:gutter="0"/>
          <w:cols w:space="708"/>
          <w:docGrid w:linePitch="360"/>
        </w:sectPr>
      </w:pPr>
      <w:r w:rsidRPr="00960A74">
        <w:t xml:space="preserve">In August 2023, we </w:t>
      </w:r>
      <w:r w:rsidR="00B06138" w:rsidRPr="00960A74">
        <w:t xml:space="preserve">asked </w:t>
      </w:r>
      <w:r w:rsidRPr="00960A74">
        <w:t xml:space="preserve">government agencies </w:t>
      </w:r>
      <w:r w:rsidR="00D264CD">
        <w:t xml:space="preserve">and peak bodies </w:t>
      </w:r>
      <w:r w:rsidR="00B06138" w:rsidRPr="00960A74">
        <w:t xml:space="preserve">for their thoughts on </w:t>
      </w:r>
      <w:r w:rsidR="0022790A" w:rsidRPr="00960A74">
        <w:t>tamariki/</w:t>
      </w:r>
      <w:r w:rsidR="00B06138" w:rsidRPr="00960A74">
        <w:t xml:space="preserve">children’s privacy in New Zealand. We wanted to know whether they had any concerns about the current privacy </w:t>
      </w:r>
      <w:r w:rsidR="004B7550" w:rsidRPr="00960A74">
        <w:t>rules and</w:t>
      </w:r>
      <w:r w:rsidR="00B06138" w:rsidRPr="00960A74">
        <w:t xml:space="preserve"> asked for their opinion on ways to make privacy rules easier and more accessible for </w:t>
      </w:r>
      <w:r w:rsidR="0022790A" w:rsidRPr="00960A74">
        <w:t>tamariki/</w:t>
      </w:r>
      <w:r w:rsidR="00B06138" w:rsidRPr="00960A74">
        <w:t>children. We received submissions from:</w:t>
      </w:r>
    </w:p>
    <w:p w14:paraId="26500886" w14:textId="13A47C30"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Accident Compensation</w:t>
      </w:r>
      <w:r w:rsidR="0092667E" w:rsidRPr="00960A74">
        <w:rPr>
          <w:rFonts w:cs="Arial"/>
          <w:szCs w:val="24"/>
        </w:rPr>
        <w:t xml:space="preserve"> </w:t>
      </w:r>
      <w:r w:rsidR="00366231" w:rsidRPr="00960A74">
        <w:rPr>
          <w:rFonts w:cs="Arial"/>
          <w:szCs w:val="24"/>
        </w:rPr>
        <w:t>Corporation</w:t>
      </w:r>
    </w:p>
    <w:p w14:paraId="285026A5" w14:textId="18988C08"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Customs</w:t>
      </w:r>
    </w:p>
    <w:p w14:paraId="62AD386D" w14:textId="1FC20F1A"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Department of Corrections</w:t>
      </w:r>
    </w:p>
    <w:p w14:paraId="50E118BC" w14:textId="582E6958"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Department of Internal Affairs</w:t>
      </w:r>
    </w:p>
    <w:p w14:paraId="2BD7BFBD" w14:textId="247EFF36"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Government Chief Privacy Officer</w:t>
      </w:r>
    </w:p>
    <w:p w14:paraId="381482B4" w14:textId="1A8A3230"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Health and Disability Commission</w:t>
      </w:r>
    </w:p>
    <w:p w14:paraId="1095F9B8" w14:textId="21ED1F42"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Human Rights Commission</w:t>
      </w:r>
    </w:p>
    <w:p w14:paraId="2636E77B" w14:textId="11313375"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Independent Children’s Monitor</w:t>
      </w:r>
    </w:p>
    <w:p w14:paraId="5279DA5F" w14:textId="5E9BFA6F"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Ministry of Education</w:t>
      </w:r>
    </w:p>
    <w:p w14:paraId="4FD21E09" w14:textId="62976842"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Ministry of Health</w:t>
      </w:r>
    </w:p>
    <w:p w14:paraId="1DF13466" w14:textId="36D4BD32"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Ministry of Justice</w:t>
      </w:r>
    </w:p>
    <w:p w14:paraId="16D2EC60" w14:textId="176D90C4" w:rsidR="00B06138" w:rsidRPr="00960A74" w:rsidRDefault="00B06138" w:rsidP="009B4A95">
      <w:pPr>
        <w:pStyle w:val="ListParagraph"/>
        <w:numPr>
          <w:ilvl w:val="0"/>
          <w:numId w:val="1"/>
        </w:numPr>
        <w:spacing w:afterLines="120" w:after="288" w:line="240" w:lineRule="auto"/>
        <w:ind w:left="714" w:hanging="357"/>
        <w:rPr>
          <w:rFonts w:cs="Arial"/>
          <w:szCs w:val="24"/>
        </w:rPr>
      </w:pPr>
      <w:r w:rsidRPr="00960A74">
        <w:rPr>
          <w:rFonts w:cs="Arial"/>
          <w:szCs w:val="24"/>
        </w:rPr>
        <w:t xml:space="preserve">Ministry of </w:t>
      </w:r>
      <w:r w:rsidR="009F7F32" w:rsidRPr="00960A74">
        <w:rPr>
          <w:rFonts w:cs="Arial"/>
          <w:szCs w:val="24"/>
        </w:rPr>
        <w:t>Pacific Peoples</w:t>
      </w:r>
    </w:p>
    <w:p w14:paraId="7400B5E2" w14:textId="06668D95" w:rsidR="009F7F32" w:rsidRPr="00960A74" w:rsidRDefault="009F7F32" w:rsidP="009B4A95">
      <w:pPr>
        <w:pStyle w:val="ListParagraph"/>
        <w:numPr>
          <w:ilvl w:val="0"/>
          <w:numId w:val="1"/>
        </w:numPr>
        <w:spacing w:afterLines="120" w:after="288" w:line="240" w:lineRule="auto"/>
        <w:ind w:left="714" w:hanging="357"/>
        <w:rPr>
          <w:rFonts w:cs="Arial"/>
          <w:szCs w:val="24"/>
        </w:rPr>
      </w:pPr>
      <w:r w:rsidRPr="00960A74">
        <w:rPr>
          <w:rFonts w:cs="Arial"/>
          <w:szCs w:val="24"/>
        </w:rPr>
        <w:t>Ministry of Social Development</w:t>
      </w:r>
    </w:p>
    <w:p w14:paraId="1754C534" w14:textId="5EF3F4A1" w:rsidR="009F7F32" w:rsidRPr="00960A74" w:rsidRDefault="00686EB9" w:rsidP="009B4A95">
      <w:pPr>
        <w:pStyle w:val="ListParagraph"/>
        <w:numPr>
          <w:ilvl w:val="0"/>
          <w:numId w:val="1"/>
        </w:numPr>
        <w:spacing w:afterLines="120" w:after="288" w:line="240" w:lineRule="auto"/>
        <w:ind w:left="714" w:hanging="357"/>
        <w:rPr>
          <w:rFonts w:cs="Arial"/>
          <w:szCs w:val="24"/>
        </w:rPr>
      </w:pPr>
      <w:r>
        <w:rPr>
          <w:rFonts w:cs="Arial"/>
          <w:szCs w:val="24"/>
        </w:rPr>
        <w:t xml:space="preserve">Chief </w:t>
      </w:r>
      <w:r w:rsidR="009F7F32" w:rsidRPr="00960A74">
        <w:rPr>
          <w:rFonts w:cs="Arial"/>
          <w:szCs w:val="24"/>
        </w:rPr>
        <w:t>Ombudsman</w:t>
      </w:r>
    </w:p>
    <w:p w14:paraId="6FBF5930" w14:textId="28EE95EE" w:rsidR="009F7F32" w:rsidRPr="00960A74" w:rsidRDefault="009F7F32" w:rsidP="009B4A95">
      <w:pPr>
        <w:pStyle w:val="ListParagraph"/>
        <w:numPr>
          <w:ilvl w:val="0"/>
          <w:numId w:val="1"/>
        </w:numPr>
        <w:spacing w:afterLines="120" w:after="288" w:line="240" w:lineRule="auto"/>
        <w:ind w:left="714" w:hanging="357"/>
        <w:rPr>
          <w:rFonts w:cs="Arial"/>
          <w:szCs w:val="24"/>
        </w:rPr>
      </w:pPr>
      <w:proofErr w:type="spellStart"/>
      <w:r w:rsidRPr="00960A74">
        <w:rPr>
          <w:rFonts w:cs="Arial"/>
          <w:szCs w:val="24"/>
        </w:rPr>
        <w:t>Oranga</w:t>
      </w:r>
      <w:proofErr w:type="spellEnd"/>
      <w:r w:rsidRPr="00960A74">
        <w:rPr>
          <w:rFonts w:cs="Arial"/>
          <w:szCs w:val="24"/>
        </w:rPr>
        <w:t xml:space="preserve"> Tamariki</w:t>
      </w:r>
    </w:p>
    <w:p w14:paraId="1FDB4136" w14:textId="43463007" w:rsidR="009F7F32" w:rsidRPr="00960A74" w:rsidRDefault="009F7F32" w:rsidP="009B4A95">
      <w:pPr>
        <w:pStyle w:val="ListParagraph"/>
        <w:numPr>
          <w:ilvl w:val="0"/>
          <w:numId w:val="1"/>
        </w:numPr>
        <w:spacing w:afterLines="120" w:after="288" w:line="240" w:lineRule="auto"/>
        <w:ind w:left="714" w:hanging="357"/>
        <w:rPr>
          <w:rFonts w:cs="Arial"/>
          <w:szCs w:val="24"/>
        </w:rPr>
      </w:pPr>
      <w:r w:rsidRPr="00960A74">
        <w:rPr>
          <w:rFonts w:cs="Arial"/>
          <w:szCs w:val="24"/>
        </w:rPr>
        <w:t>Police</w:t>
      </w:r>
    </w:p>
    <w:p w14:paraId="71E92A01" w14:textId="0FE648BE" w:rsidR="009F7F32" w:rsidRPr="00960A74" w:rsidRDefault="009F7F32" w:rsidP="009B4A95">
      <w:pPr>
        <w:pStyle w:val="ListParagraph"/>
        <w:numPr>
          <w:ilvl w:val="0"/>
          <w:numId w:val="1"/>
        </w:numPr>
        <w:spacing w:afterLines="120" w:after="288" w:line="240" w:lineRule="auto"/>
        <w:ind w:left="714" w:hanging="357"/>
        <w:rPr>
          <w:rFonts w:cs="Arial"/>
          <w:szCs w:val="24"/>
        </w:rPr>
      </w:pPr>
      <w:r w:rsidRPr="00960A74">
        <w:rPr>
          <w:rFonts w:cs="Arial"/>
          <w:szCs w:val="24"/>
        </w:rPr>
        <w:t>Post Primary Teachers Association</w:t>
      </w:r>
    </w:p>
    <w:p w14:paraId="4FC99F2F" w14:textId="45BD7F3D" w:rsidR="009F7F32" w:rsidRPr="00960A74" w:rsidRDefault="009F7F32" w:rsidP="009B4A95">
      <w:pPr>
        <w:pStyle w:val="ListParagraph"/>
        <w:numPr>
          <w:ilvl w:val="0"/>
          <w:numId w:val="1"/>
        </w:numPr>
        <w:spacing w:afterLines="120" w:after="288" w:line="240" w:lineRule="auto"/>
        <w:rPr>
          <w:rFonts w:cs="Arial"/>
          <w:szCs w:val="24"/>
        </w:rPr>
      </w:pPr>
      <w:r w:rsidRPr="00960A74">
        <w:rPr>
          <w:rFonts w:cs="Arial"/>
          <w:szCs w:val="24"/>
        </w:rPr>
        <w:t>Statistics New Zealand</w:t>
      </w:r>
    </w:p>
    <w:p w14:paraId="1FE7E790" w14:textId="2A860983" w:rsidR="009F7F32" w:rsidRPr="00960A74" w:rsidRDefault="009F7F32" w:rsidP="009B4A95">
      <w:pPr>
        <w:pStyle w:val="ListParagraph"/>
        <w:numPr>
          <w:ilvl w:val="0"/>
          <w:numId w:val="1"/>
        </w:numPr>
        <w:spacing w:afterLines="120" w:after="288" w:line="240" w:lineRule="auto"/>
        <w:rPr>
          <w:rFonts w:cs="Arial"/>
          <w:szCs w:val="24"/>
        </w:rPr>
      </w:pPr>
      <w:r w:rsidRPr="00960A74">
        <w:rPr>
          <w:rFonts w:cs="Arial"/>
          <w:szCs w:val="24"/>
        </w:rPr>
        <w:t>Teaching Council NZ</w:t>
      </w:r>
    </w:p>
    <w:p w14:paraId="375378C7" w14:textId="77777777" w:rsidR="009F7F32" w:rsidRPr="00960A74" w:rsidRDefault="009F7F32" w:rsidP="009B4A95">
      <w:pPr>
        <w:spacing w:afterLines="120" w:after="288"/>
        <w:rPr>
          <w:rFonts w:cs="Arial"/>
          <w:szCs w:val="24"/>
        </w:rPr>
        <w:sectPr w:rsidR="009F7F32" w:rsidRPr="00960A74" w:rsidSect="00D635D2">
          <w:type w:val="continuous"/>
          <w:pgSz w:w="11906" w:h="16838"/>
          <w:pgMar w:top="1440" w:right="1440" w:bottom="1440" w:left="1440" w:header="708" w:footer="708" w:gutter="0"/>
          <w:cols w:num="2" w:space="708"/>
          <w:docGrid w:linePitch="360"/>
        </w:sectPr>
      </w:pPr>
    </w:p>
    <w:p w14:paraId="0B33A558" w14:textId="77777777" w:rsidR="00960A74" w:rsidRDefault="00960A74" w:rsidP="009B4A95">
      <w:pPr>
        <w:spacing w:afterLines="120" w:after="288"/>
        <w:rPr>
          <w:rFonts w:cs="Arial"/>
          <w:szCs w:val="24"/>
        </w:rPr>
      </w:pPr>
    </w:p>
    <w:p w14:paraId="49AAAE81" w14:textId="04FE15F9" w:rsidR="00960A74" w:rsidRDefault="009F7F32" w:rsidP="009B4A95">
      <w:pPr>
        <w:spacing w:afterLines="120" w:after="288"/>
      </w:pPr>
      <w:r w:rsidRPr="00960A74">
        <w:t xml:space="preserve">In September 2023, we began consultation with professionals who work with </w:t>
      </w:r>
      <w:r w:rsidR="0022790A" w:rsidRPr="00960A74">
        <w:t>tamariki/</w:t>
      </w:r>
      <w:r w:rsidRPr="00960A74">
        <w:t xml:space="preserve">children (teachers, doctors, nurses, and so on), non-governmental organisations </w:t>
      </w:r>
      <w:r w:rsidR="008C1D5B" w:rsidRPr="00960A74">
        <w:t xml:space="preserve">(NGOs) </w:t>
      </w:r>
      <w:r w:rsidRPr="00960A74">
        <w:t xml:space="preserve">who advocate for </w:t>
      </w:r>
      <w:r w:rsidR="0022790A" w:rsidRPr="00960A74">
        <w:t>tamariki and rangatahi/</w:t>
      </w:r>
      <w:r w:rsidRPr="00960A74">
        <w:t xml:space="preserve">children and young people, and academics with an interest in </w:t>
      </w:r>
      <w:r w:rsidR="0022790A" w:rsidRPr="00960A74">
        <w:t>tamariki/</w:t>
      </w:r>
      <w:r w:rsidRPr="00960A74">
        <w:t xml:space="preserve">children’s privacy. We asked what they were concerned about, and for their opinions on what could improve protections for </w:t>
      </w:r>
      <w:r w:rsidR="0022790A" w:rsidRPr="00960A74">
        <w:t>tamariki/</w:t>
      </w:r>
      <w:r w:rsidRPr="00960A74">
        <w:t>children’s privacy in New Zealand.</w:t>
      </w:r>
    </w:p>
    <w:p w14:paraId="15DB6A58" w14:textId="1D8B6140" w:rsidR="00D05DFD" w:rsidRDefault="00D05DFD">
      <w:r>
        <w:br w:type="page"/>
      </w:r>
    </w:p>
    <w:p w14:paraId="29E287B9" w14:textId="765886F1" w:rsidR="00686EB9" w:rsidRPr="00686EB9" w:rsidRDefault="00686EB9" w:rsidP="0095585E">
      <w:pPr>
        <w:pStyle w:val="Subheading"/>
      </w:pPr>
      <w:r w:rsidRPr="00686EB9">
        <w:lastRenderedPageBreak/>
        <w:t>Summary of submissions</w:t>
      </w:r>
    </w:p>
    <w:p w14:paraId="64A0776E" w14:textId="1D4610CB" w:rsidR="00686EB9" w:rsidRDefault="009F7F32" w:rsidP="0095585E">
      <w:r w:rsidRPr="00960A74">
        <w:t xml:space="preserve">We received 94 submissions from our online survey </w:t>
      </w:r>
      <w:r w:rsidR="007B548A" w:rsidRPr="00960A74">
        <w:t>and</w:t>
      </w:r>
      <w:r w:rsidRPr="00960A74">
        <w:t xml:space="preserve"> written submissions.</w:t>
      </w:r>
      <w:r w:rsidR="008C1D5B" w:rsidRPr="00960A74">
        <w:t xml:space="preserve"> </w:t>
      </w:r>
      <w:r w:rsidR="00686EB9">
        <w:br/>
      </w:r>
      <w:r w:rsidR="008C1D5B" w:rsidRPr="00960A74">
        <w:t xml:space="preserve">Respondents </w:t>
      </w:r>
      <w:r w:rsidR="00701D42" w:rsidRPr="00960A74">
        <w:t xml:space="preserve">indicated they were from </w:t>
      </w:r>
      <w:r w:rsidR="008C1D5B" w:rsidRPr="00960A74">
        <w:t xml:space="preserve">the following </w:t>
      </w:r>
      <w:r w:rsidR="0080782B" w:rsidRPr="00960A74">
        <w:t>sectors</w:t>
      </w:r>
      <w:r w:rsidR="008C1D5B" w:rsidRPr="00960A74">
        <w:t>:</w:t>
      </w:r>
      <w:r w:rsidR="008C1D5B" w:rsidRPr="00960A74">
        <w:rPr>
          <w:rStyle w:val="FootnoteReference"/>
          <w:rFonts w:cs="Arial"/>
          <w:szCs w:val="24"/>
        </w:rPr>
        <w:footnoteReference w:id="1"/>
      </w:r>
    </w:p>
    <w:p w14:paraId="14F31B7F" w14:textId="66205AAE" w:rsidR="00686EB9" w:rsidRDefault="008B5075" w:rsidP="00FB0C93">
      <w:pPr>
        <w:spacing w:after="0"/>
        <w:rPr>
          <w:rFonts w:cs="Arial"/>
          <w:szCs w:val="24"/>
        </w:rPr>
      </w:pPr>
      <w:r w:rsidRPr="008B5075">
        <w:rPr>
          <w:rFonts w:cs="Arial"/>
          <w:noProof/>
          <w:szCs w:val="24"/>
        </w:rPr>
        <w:drawing>
          <wp:inline distT="0" distB="0" distL="0" distR="0" wp14:anchorId="0243A4C0" wp14:editId="059DC868">
            <wp:extent cx="5620534" cy="3105583"/>
            <wp:effectExtent l="19050" t="19050" r="18415" b="19050"/>
            <wp:docPr id="123676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61827" name=""/>
                    <pic:cNvPicPr/>
                  </pic:nvPicPr>
                  <pic:blipFill>
                    <a:blip r:embed="rId12"/>
                    <a:stretch>
                      <a:fillRect/>
                    </a:stretch>
                  </pic:blipFill>
                  <pic:spPr>
                    <a:xfrm>
                      <a:off x="0" y="0"/>
                      <a:ext cx="5620534" cy="3105583"/>
                    </a:xfrm>
                    <a:prstGeom prst="rect">
                      <a:avLst/>
                    </a:prstGeom>
                    <a:ln>
                      <a:solidFill>
                        <a:schemeClr val="tx1"/>
                      </a:solidFill>
                    </a:ln>
                  </pic:spPr>
                </pic:pic>
              </a:graphicData>
            </a:graphic>
          </wp:inline>
        </w:drawing>
      </w:r>
    </w:p>
    <w:p w14:paraId="6E4ECF93" w14:textId="77777777" w:rsidR="008B5075" w:rsidRDefault="008B5075" w:rsidP="00FB0C93">
      <w:pPr>
        <w:spacing w:after="0"/>
        <w:rPr>
          <w:rFonts w:cs="Arial"/>
          <w:szCs w:val="24"/>
        </w:rPr>
      </w:pPr>
    </w:p>
    <w:p w14:paraId="3E2314E8" w14:textId="46CE2ADA" w:rsidR="00092AD4" w:rsidRDefault="00673541" w:rsidP="00D05DFD">
      <w:r w:rsidRPr="00960A74">
        <w:t>Around 75% of survey respondents worked in either the health or education sectors</w:t>
      </w:r>
      <w:r w:rsidR="00855B0A" w:rsidRPr="00960A74">
        <w:t xml:space="preserve"> – </w:t>
      </w:r>
      <w:r w:rsidRPr="00960A74">
        <w:t xml:space="preserve">the people who work with </w:t>
      </w:r>
      <w:r w:rsidR="0022790A" w:rsidRPr="00960A74">
        <w:t xml:space="preserve">tamariki/children’s </w:t>
      </w:r>
      <w:r w:rsidRPr="00960A74">
        <w:t>personal information every day.</w:t>
      </w:r>
    </w:p>
    <w:p w14:paraId="3B7C5E36" w14:textId="77777777" w:rsidR="008B5075" w:rsidRDefault="008B5075" w:rsidP="008B5075">
      <w:pPr>
        <w:rPr>
          <w:rFonts w:cs="Arial"/>
          <w:b/>
          <w:bCs/>
          <w:color w:val="6B8941"/>
          <w:sz w:val="32"/>
          <w:szCs w:val="32"/>
        </w:rPr>
      </w:pPr>
    </w:p>
    <w:p w14:paraId="3FEA02E3" w14:textId="1587C21E" w:rsidR="008B5075" w:rsidRPr="008B5075" w:rsidRDefault="008B5075" w:rsidP="008B5075">
      <w:pPr>
        <w:jc w:val="center"/>
        <w:rPr>
          <w:rFonts w:cs="Arial"/>
          <w:b/>
          <w:bCs/>
          <w:color w:val="6B8941"/>
          <w:szCs w:val="24"/>
        </w:rPr>
      </w:pPr>
      <w:r w:rsidRPr="008B5075">
        <w:rPr>
          <w:rFonts w:cs="Arial"/>
          <w:b/>
          <w:bCs/>
          <w:color w:val="6B8941"/>
          <w:szCs w:val="24"/>
        </w:rPr>
        <w:t xml:space="preserve">“We need to ensure we do everything to protect </w:t>
      </w:r>
      <w:r>
        <w:rPr>
          <w:rFonts w:cs="Arial"/>
          <w:b/>
          <w:bCs/>
          <w:color w:val="6B8941"/>
          <w:szCs w:val="24"/>
        </w:rPr>
        <w:br/>
      </w:r>
      <w:r w:rsidRPr="008B5075">
        <w:rPr>
          <w:rFonts w:cs="Arial"/>
          <w:b/>
          <w:bCs/>
          <w:color w:val="6B8941"/>
          <w:szCs w:val="24"/>
        </w:rPr>
        <w:t>our children’s privacy and their futures.”</w:t>
      </w:r>
      <w:r>
        <w:rPr>
          <w:rFonts w:cs="Arial"/>
          <w:b/>
          <w:bCs/>
          <w:color w:val="6B8941"/>
          <w:sz w:val="32"/>
          <w:szCs w:val="32"/>
        </w:rPr>
        <w:t xml:space="preserve"> </w:t>
      </w:r>
      <w:r>
        <w:rPr>
          <w:rFonts w:cs="Arial"/>
          <w:b/>
          <w:bCs/>
          <w:color w:val="6B8941"/>
          <w:sz w:val="32"/>
          <w:szCs w:val="32"/>
        </w:rPr>
        <w:br/>
      </w:r>
      <w:r>
        <w:rPr>
          <w:rFonts w:cs="Arial"/>
          <w:sz w:val="16"/>
          <w:szCs w:val="16"/>
        </w:rPr>
        <w:t>Survey respondent.</w:t>
      </w:r>
    </w:p>
    <w:p w14:paraId="0BF2C2EF" w14:textId="77777777" w:rsidR="009B4A95" w:rsidRDefault="009B4A95">
      <w:pPr>
        <w:spacing w:after="160" w:line="259" w:lineRule="auto"/>
        <w:rPr>
          <w:rFonts w:cs="Arial"/>
          <w:b/>
          <w:bCs/>
          <w:color w:val="538135" w:themeColor="accent6" w:themeShade="BF"/>
          <w:sz w:val="40"/>
          <w:szCs w:val="40"/>
        </w:rPr>
      </w:pPr>
      <w:r>
        <w:br w:type="page"/>
      </w:r>
    </w:p>
    <w:p w14:paraId="03EB4B3C" w14:textId="137F0BC2" w:rsidR="008B5075" w:rsidRDefault="008B5075" w:rsidP="00D05DFD">
      <w:pPr>
        <w:pStyle w:val="Style1"/>
        <w:rPr>
          <w:noProof/>
        </w:rPr>
      </w:pPr>
      <w:r w:rsidRPr="00DD2711">
        <w:rPr>
          <w:noProof/>
        </w:rPr>
        <w:lastRenderedPageBreak/>
        <w:drawing>
          <wp:anchor distT="0" distB="0" distL="114300" distR="114300" simplePos="0" relativeHeight="251665408" behindDoc="0" locked="0" layoutInCell="1" allowOverlap="1" wp14:anchorId="6B0D8B92" wp14:editId="32D96EA8">
            <wp:simplePos x="0" y="0"/>
            <wp:positionH relativeFrom="margin">
              <wp:align>right</wp:align>
            </wp:positionH>
            <wp:positionV relativeFrom="paragraph">
              <wp:posOffset>8244</wp:posOffset>
            </wp:positionV>
            <wp:extent cx="1414145" cy="1371600"/>
            <wp:effectExtent l="0" t="0" r="0" b="0"/>
            <wp:wrapSquare wrapText="bothSides"/>
            <wp:docPr id="2067807070" name="Picture 1" descr="An adult and child reading a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07070" name="Picture 1" descr="An adult and child reading a book. "/>
                    <pic:cNvPicPr/>
                  </pic:nvPicPr>
                  <pic:blipFill rotWithShape="1">
                    <a:blip r:embed="rId13">
                      <a:extLst>
                        <a:ext uri="{28A0092B-C50C-407E-A947-70E740481C1C}">
                          <a14:useLocalDpi xmlns:a14="http://schemas.microsoft.com/office/drawing/2010/main" val="0"/>
                        </a:ext>
                      </a:extLst>
                    </a:blip>
                    <a:srcRect l="5822" t="6526" r="7367" b="6969"/>
                    <a:stretch/>
                  </pic:blipFill>
                  <pic:spPr bwMode="auto">
                    <a:xfrm>
                      <a:off x="0" y="0"/>
                      <a:ext cx="141414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0461">
        <w:t>Theme one</w:t>
      </w:r>
      <w:r w:rsidRPr="00C00461">
        <w:rPr>
          <w:noProof/>
        </w:rPr>
        <w:t xml:space="preserve"> </w:t>
      </w:r>
    </w:p>
    <w:p w14:paraId="6F832476" w14:textId="6F8D3C3E" w:rsidR="00673541" w:rsidRPr="00D05DFD" w:rsidRDefault="008B5075" w:rsidP="009B4A95">
      <w:pPr>
        <w:pStyle w:val="Subheading"/>
        <w:spacing w:afterLines="120" w:after="288"/>
      </w:pPr>
      <w:r w:rsidRPr="00C00461">
        <w:t xml:space="preserve">We need to create more </w:t>
      </w:r>
      <w:r>
        <w:t>g</w:t>
      </w:r>
      <w:r w:rsidRPr="00C00461">
        <w:t>uidance for parents and tamariki/children, and for different sectors.</w:t>
      </w:r>
    </w:p>
    <w:p w14:paraId="5BD1F3B4" w14:textId="309EF5C2" w:rsidR="008B5075" w:rsidRPr="00960A74" w:rsidRDefault="00377030" w:rsidP="009B4A95">
      <w:pPr>
        <w:spacing w:after="120"/>
      </w:pPr>
      <w:r w:rsidRPr="00960A74">
        <w:t>A lot of the feedback we got highlighted the need for more guidance that is easy to understand and can apply to a range of different situations.</w:t>
      </w:r>
      <w:r w:rsidR="009A5C6D" w:rsidRPr="00960A74">
        <w:t xml:space="preserve"> </w:t>
      </w:r>
    </w:p>
    <w:p w14:paraId="631D886B" w14:textId="53100D28" w:rsidR="008B5075" w:rsidRDefault="00C72621" w:rsidP="009B4A95">
      <w:pPr>
        <w:spacing w:after="120"/>
        <w:rPr>
          <w:rFonts w:cs="Arial"/>
          <w:szCs w:val="24"/>
        </w:rPr>
      </w:pPr>
      <w:r w:rsidRPr="00D05DFD">
        <w:t>In general, respondents said they knew what the privacy rules were or where to find them, but they would like more support and clearer information to help them apply</w:t>
      </w:r>
      <w:r w:rsidRPr="00960A74">
        <w:rPr>
          <w:rFonts w:cs="Arial"/>
          <w:szCs w:val="24"/>
        </w:rPr>
        <w:t xml:space="preserve"> the rules. Respondents said dealing with real life situations with difficult circumstances means it</w:t>
      </w:r>
      <w:r w:rsidR="00A15265" w:rsidRPr="00960A74">
        <w:rPr>
          <w:rFonts w:cs="Arial"/>
          <w:szCs w:val="24"/>
        </w:rPr>
        <w:t>’s</w:t>
      </w:r>
      <w:r w:rsidRPr="00960A74">
        <w:rPr>
          <w:rFonts w:cs="Arial"/>
          <w:szCs w:val="24"/>
        </w:rPr>
        <w:t xml:space="preserve"> not always obvious what to do.</w:t>
      </w:r>
    </w:p>
    <w:p w14:paraId="56C40E89" w14:textId="77777777" w:rsidR="008B5075" w:rsidRPr="008B5075" w:rsidRDefault="008B5075" w:rsidP="00FB0C93">
      <w:pPr>
        <w:spacing w:after="0"/>
        <w:rPr>
          <w:rFonts w:cs="Arial"/>
          <w:b/>
          <w:bCs/>
          <w:color w:val="6B8941"/>
          <w:szCs w:val="24"/>
        </w:rPr>
      </w:pPr>
    </w:p>
    <w:p w14:paraId="0B6DB6F6" w14:textId="0DB6F3C2" w:rsidR="008B5075" w:rsidRDefault="00C72621" w:rsidP="008B5075">
      <w:pPr>
        <w:spacing w:after="0"/>
        <w:ind w:firstLine="720"/>
        <w:jc w:val="center"/>
        <w:rPr>
          <w:rFonts w:cs="Arial"/>
          <w:b/>
          <w:bCs/>
          <w:color w:val="6B8941"/>
          <w:szCs w:val="24"/>
        </w:rPr>
      </w:pPr>
      <w:r w:rsidRPr="008B5075">
        <w:rPr>
          <w:rFonts w:cs="Arial"/>
          <w:b/>
          <w:bCs/>
          <w:color w:val="6B8941"/>
          <w:szCs w:val="24"/>
        </w:rPr>
        <w:t>“…privacy situations are not always clear cut.”</w:t>
      </w:r>
    </w:p>
    <w:p w14:paraId="1A66A243" w14:textId="347C237F" w:rsidR="008B5075" w:rsidRDefault="008B5075" w:rsidP="008B5075">
      <w:pPr>
        <w:spacing w:after="0"/>
        <w:ind w:firstLine="720"/>
        <w:jc w:val="center"/>
        <w:rPr>
          <w:rFonts w:cs="Arial"/>
          <w:b/>
          <w:bCs/>
          <w:color w:val="6B8941"/>
          <w:szCs w:val="24"/>
        </w:rPr>
      </w:pPr>
      <w:r>
        <w:rPr>
          <w:rFonts w:cs="Arial"/>
          <w:sz w:val="16"/>
          <w:szCs w:val="16"/>
        </w:rPr>
        <w:t>Government agency</w:t>
      </w:r>
      <w:r w:rsidR="00D01DBA">
        <w:rPr>
          <w:rFonts w:cs="Arial"/>
          <w:sz w:val="16"/>
          <w:szCs w:val="16"/>
        </w:rPr>
        <w:t>/peak body</w:t>
      </w:r>
      <w:r>
        <w:rPr>
          <w:rFonts w:cs="Arial"/>
          <w:sz w:val="16"/>
          <w:szCs w:val="16"/>
        </w:rPr>
        <w:t>.</w:t>
      </w:r>
    </w:p>
    <w:p w14:paraId="3512CBE7" w14:textId="77777777" w:rsidR="008B5075" w:rsidRDefault="008B5075" w:rsidP="008B5075">
      <w:pPr>
        <w:spacing w:after="0"/>
        <w:ind w:firstLine="720"/>
        <w:jc w:val="center"/>
        <w:rPr>
          <w:rFonts w:cs="Arial"/>
          <w:b/>
          <w:bCs/>
          <w:color w:val="6B8941"/>
          <w:szCs w:val="24"/>
        </w:rPr>
      </w:pPr>
    </w:p>
    <w:p w14:paraId="78D00357" w14:textId="648BD851" w:rsidR="008B5075" w:rsidRDefault="00AA7CC1" w:rsidP="008B5075">
      <w:pPr>
        <w:spacing w:after="0"/>
        <w:ind w:left="720"/>
        <w:jc w:val="center"/>
        <w:rPr>
          <w:rFonts w:cs="Arial"/>
          <w:b/>
          <w:bCs/>
          <w:color w:val="6B8941"/>
          <w:szCs w:val="24"/>
        </w:rPr>
      </w:pPr>
      <w:r w:rsidRPr="008B5075">
        <w:rPr>
          <w:rFonts w:cs="Arial"/>
          <w:b/>
          <w:bCs/>
          <w:color w:val="6B8941"/>
          <w:szCs w:val="24"/>
        </w:rPr>
        <w:t xml:space="preserve">“The </w:t>
      </w:r>
      <w:r w:rsidR="001A1865">
        <w:rPr>
          <w:rFonts w:cs="Arial"/>
          <w:b/>
          <w:bCs/>
          <w:color w:val="6B8941"/>
          <w:szCs w:val="24"/>
        </w:rPr>
        <w:t>P</w:t>
      </w:r>
      <w:r w:rsidRPr="008B5075">
        <w:rPr>
          <w:rFonts w:cs="Arial"/>
          <w:b/>
          <w:bCs/>
          <w:color w:val="6B8941"/>
          <w:szCs w:val="24"/>
        </w:rPr>
        <w:t xml:space="preserve">rivacy </w:t>
      </w:r>
      <w:r w:rsidR="001A1865">
        <w:rPr>
          <w:rFonts w:cs="Arial"/>
          <w:b/>
          <w:bCs/>
          <w:color w:val="6B8941"/>
          <w:szCs w:val="24"/>
        </w:rPr>
        <w:t>C</w:t>
      </w:r>
      <w:r w:rsidRPr="008B5075">
        <w:rPr>
          <w:rFonts w:cs="Arial"/>
          <w:b/>
          <w:bCs/>
          <w:color w:val="6B8941"/>
          <w:szCs w:val="24"/>
        </w:rPr>
        <w:t>ommission</w:t>
      </w:r>
      <w:r w:rsidR="00A525B4" w:rsidRPr="008B5075">
        <w:rPr>
          <w:rFonts w:cs="Arial"/>
          <w:b/>
          <w:bCs/>
          <w:color w:val="6B8941"/>
          <w:szCs w:val="24"/>
        </w:rPr>
        <w:t>[er]</w:t>
      </w:r>
      <w:r w:rsidRPr="008B5075">
        <w:rPr>
          <w:rFonts w:cs="Arial"/>
          <w:b/>
          <w:bCs/>
          <w:color w:val="6B8941"/>
          <w:szCs w:val="24"/>
        </w:rPr>
        <w:t xml:space="preserve"> website contains good information</w:t>
      </w:r>
      <w:r w:rsidR="008B5075">
        <w:rPr>
          <w:rFonts w:cs="Arial"/>
          <w:b/>
          <w:bCs/>
          <w:color w:val="6B8941"/>
          <w:szCs w:val="24"/>
        </w:rPr>
        <w:t>. H</w:t>
      </w:r>
      <w:r w:rsidRPr="008B5075">
        <w:rPr>
          <w:rFonts w:cs="Arial"/>
          <w:b/>
          <w:bCs/>
          <w:color w:val="6B8941"/>
          <w:szCs w:val="24"/>
        </w:rPr>
        <w:t>owever</w:t>
      </w:r>
      <w:r w:rsidR="008B5075">
        <w:rPr>
          <w:rFonts w:cs="Arial"/>
          <w:b/>
          <w:bCs/>
          <w:color w:val="6B8941"/>
          <w:szCs w:val="24"/>
        </w:rPr>
        <w:t>,</w:t>
      </w:r>
      <w:r w:rsidRPr="008B5075">
        <w:rPr>
          <w:rFonts w:cs="Arial"/>
          <w:b/>
          <w:bCs/>
          <w:color w:val="6B8941"/>
          <w:szCs w:val="24"/>
        </w:rPr>
        <w:t xml:space="preserve"> it would be good if it was consolidated.”</w:t>
      </w:r>
    </w:p>
    <w:p w14:paraId="5F154C7C" w14:textId="40FCC340" w:rsidR="008B5075" w:rsidRDefault="008B5075" w:rsidP="008B5075">
      <w:pPr>
        <w:spacing w:after="0"/>
        <w:ind w:firstLine="720"/>
        <w:jc w:val="center"/>
        <w:rPr>
          <w:rFonts w:cs="Arial"/>
          <w:b/>
          <w:bCs/>
          <w:color w:val="6B8941"/>
          <w:szCs w:val="24"/>
        </w:rPr>
      </w:pPr>
      <w:r>
        <w:rPr>
          <w:rFonts w:cs="Arial"/>
          <w:sz w:val="16"/>
          <w:szCs w:val="16"/>
        </w:rPr>
        <w:t>Survey respondent.</w:t>
      </w:r>
    </w:p>
    <w:p w14:paraId="5FEDBBEE" w14:textId="77777777" w:rsidR="00332A0F" w:rsidRPr="00960A74" w:rsidRDefault="00332A0F" w:rsidP="00FB0C93">
      <w:pPr>
        <w:spacing w:after="0"/>
        <w:rPr>
          <w:rFonts w:cs="Arial"/>
          <w:szCs w:val="24"/>
        </w:rPr>
      </w:pPr>
    </w:p>
    <w:p w14:paraId="20A081E1" w14:textId="78B55794" w:rsidR="00AA7CC1" w:rsidRPr="0095585E" w:rsidRDefault="00377030" w:rsidP="00D05DFD">
      <w:pPr>
        <w:pStyle w:val="Style1"/>
      </w:pPr>
      <w:r w:rsidRPr="0095585E">
        <w:t>Guidance for parents</w:t>
      </w:r>
      <w:r w:rsidR="00F30116" w:rsidRPr="0095585E">
        <w:t>/caregivers/guardians</w:t>
      </w:r>
    </w:p>
    <w:p w14:paraId="1C59B7CA" w14:textId="10CE0B7D" w:rsidR="008B5075" w:rsidRPr="00960A74" w:rsidRDefault="00522CE8" w:rsidP="009B4A95">
      <w:pPr>
        <w:spacing w:afterLines="120" w:after="288"/>
      </w:pPr>
      <w:r w:rsidRPr="00960A74">
        <w:t xml:space="preserve">Respondents told us that they wanted guidance on </w:t>
      </w:r>
      <w:r w:rsidR="004A4D5C" w:rsidRPr="00960A74">
        <w:t>tamariki/</w:t>
      </w:r>
      <w:r w:rsidRPr="00960A74">
        <w:t>children’s privacy rights to be created for parents</w:t>
      </w:r>
      <w:r w:rsidR="00831158" w:rsidRPr="00960A74">
        <w:t xml:space="preserve">, </w:t>
      </w:r>
      <w:r w:rsidR="0070773F" w:rsidRPr="00960A74">
        <w:t>caregivers</w:t>
      </w:r>
      <w:r w:rsidR="008B5075">
        <w:t>,</w:t>
      </w:r>
      <w:r w:rsidR="00831158" w:rsidRPr="00960A74">
        <w:t xml:space="preserve"> and guardians</w:t>
      </w:r>
      <w:r w:rsidRPr="00960A74">
        <w:t xml:space="preserve">. </w:t>
      </w:r>
      <w:r w:rsidR="0083459E" w:rsidRPr="00960A74">
        <w:t>Guidance should help parents understand how they can protect their child’s privacy rights, including what they can expect from agencies collecting their child’s information, and how they can use technology (such as social media) in a privacy protective way.</w:t>
      </w:r>
    </w:p>
    <w:p w14:paraId="5B86B327" w14:textId="69D770C2" w:rsidR="00AA7CC1" w:rsidRDefault="0083459E" w:rsidP="009B4A95">
      <w:pPr>
        <w:spacing w:afterLines="120" w:after="288"/>
      </w:pPr>
      <w:r w:rsidRPr="00960A74">
        <w:t xml:space="preserve">When asked what could be done better to support parents, 48% of </w:t>
      </w:r>
      <w:r w:rsidR="002B64E0" w:rsidRPr="00960A74">
        <w:t xml:space="preserve">survey </w:t>
      </w:r>
      <w:r w:rsidRPr="00960A74">
        <w:t xml:space="preserve">respondents said that there needs to be more guidance created for parents, and 45% said that parents need education resources to help them upskill. </w:t>
      </w:r>
      <w:r w:rsidR="00401FF3" w:rsidRPr="00960A74">
        <w:t>Guidance shouldn’t interfere with parenting decisions or approaches, but it should provide parents with the tools to protect their children’s privacy.</w:t>
      </w:r>
    </w:p>
    <w:p w14:paraId="48564F33" w14:textId="77777777" w:rsidR="0095585E" w:rsidRPr="00960A74" w:rsidRDefault="0095585E" w:rsidP="0095585E"/>
    <w:p w14:paraId="1F33D4A1" w14:textId="77777777" w:rsidR="00883538" w:rsidRDefault="00986181" w:rsidP="00883538">
      <w:pPr>
        <w:spacing w:after="0"/>
        <w:jc w:val="center"/>
        <w:rPr>
          <w:rFonts w:cs="Arial"/>
          <w:b/>
          <w:bCs/>
          <w:color w:val="6B8941"/>
          <w:szCs w:val="24"/>
        </w:rPr>
      </w:pPr>
      <w:r w:rsidRPr="008B5075">
        <w:rPr>
          <w:rFonts w:cs="Arial"/>
          <w:b/>
          <w:bCs/>
          <w:color w:val="6B8941"/>
          <w:szCs w:val="24"/>
        </w:rPr>
        <w:lastRenderedPageBreak/>
        <w:t xml:space="preserve">I want “…better education and information for parents of very young children e.g., understanding privacy risks of sharing content of children…” </w:t>
      </w:r>
    </w:p>
    <w:p w14:paraId="45DFC398" w14:textId="0DF1C33D" w:rsidR="00883538" w:rsidRDefault="00883538" w:rsidP="00883538">
      <w:pPr>
        <w:spacing w:after="0"/>
        <w:jc w:val="center"/>
        <w:rPr>
          <w:rFonts w:cs="Arial"/>
          <w:b/>
          <w:bCs/>
          <w:color w:val="6B8941"/>
          <w:szCs w:val="24"/>
        </w:rPr>
      </w:pPr>
      <w:r>
        <w:rPr>
          <w:rFonts w:cs="Arial"/>
          <w:sz w:val="16"/>
          <w:szCs w:val="16"/>
        </w:rPr>
        <w:t>Government agency</w:t>
      </w:r>
      <w:r w:rsidR="00D01DBA">
        <w:rPr>
          <w:rFonts w:cs="Arial"/>
          <w:sz w:val="16"/>
          <w:szCs w:val="16"/>
        </w:rPr>
        <w:t>/peak body</w:t>
      </w:r>
      <w:r>
        <w:rPr>
          <w:rFonts w:cs="Arial"/>
          <w:sz w:val="16"/>
          <w:szCs w:val="16"/>
        </w:rPr>
        <w:t>.</w:t>
      </w:r>
    </w:p>
    <w:p w14:paraId="63C93DB6" w14:textId="77777777" w:rsidR="008B5075" w:rsidRPr="00883538" w:rsidRDefault="008B5075" w:rsidP="00883538">
      <w:pPr>
        <w:spacing w:after="0"/>
        <w:rPr>
          <w:rFonts w:cs="Arial"/>
          <w:b/>
          <w:bCs/>
          <w:color w:val="6B8941"/>
          <w:szCs w:val="24"/>
        </w:rPr>
      </w:pPr>
    </w:p>
    <w:p w14:paraId="05EFC443" w14:textId="705BC4F7" w:rsidR="00883538" w:rsidRDefault="00986181" w:rsidP="00883538">
      <w:pPr>
        <w:spacing w:after="0"/>
        <w:jc w:val="center"/>
        <w:rPr>
          <w:rFonts w:cs="Arial"/>
          <w:b/>
          <w:bCs/>
          <w:color w:val="6B8941"/>
          <w:szCs w:val="24"/>
        </w:rPr>
      </w:pPr>
      <w:r w:rsidRPr="00883538">
        <w:rPr>
          <w:rFonts w:cs="Arial"/>
          <w:b/>
          <w:bCs/>
          <w:color w:val="6B8941"/>
          <w:szCs w:val="24"/>
        </w:rPr>
        <w:t>“Upskill parents/whānau to understand their rights…”</w:t>
      </w:r>
    </w:p>
    <w:p w14:paraId="3A01C127" w14:textId="4C95F2BF" w:rsidR="00883538" w:rsidRDefault="00883538" w:rsidP="00883538">
      <w:pPr>
        <w:spacing w:after="0"/>
        <w:jc w:val="center"/>
        <w:rPr>
          <w:rFonts w:cs="Arial"/>
          <w:b/>
          <w:bCs/>
          <w:color w:val="6B8941"/>
          <w:szCs w:val="24"/>
        </w:rPr>
      </w:pPr>
      <w:r>
        <w:rPr>
          <w:rFonts w:cs="Arial"/>
          <w:sz w:val="16"/>
          <w:szCs w:val="16"/>
        </w:rPr>
        <w:t>Survey respondent.</w:t>
      </w:r>
    </w:p>
    <w:p w14:paraId="034B1EB7" w14:textId="77777777" w:rsidR="00883538" w:rsidRDefault="00883538" w:rsidP="00883538">
      <w:pPr>
        <w:spacing w:after="0"/>
        <w:rPr>
          <w:rFonts w:cs="Arial"/>
          <w:b/>
          <w:bCs/>
          <w:color w:val="6B8941"/>
          <w:szCs w:val="24"/>
        </w:rPr>
      </w:pPr>
    </w:p>
    <w:p w14:paraId="5C87A245" w14:textId="6ACE00F0" w:rsidR="00883538" w:rsidRDefault="00986181" w:rsidP="00883538">
      <w:pPr>
        <w:spacing w:after="0"/>
        <w:jc w:val="center"/>
        <w:rPr>
          <w:rFonts w:cs="Arial"/>
          <w:b/>
          <w:bCs/>
          <w:color w:val="6B8941"/>
          <w:szCs w:val="24"/>
        </w:rPr>
      </w:pPr>
      <w:r w:rsidRPr="00883538">
        <w:rPr>
          <w:rFonts w:cs="Arial"/>
          <w:b/>
          <w:bCs/>
          <w:color w:val="6B8941"/>
          <w:szCs w:val="24"/>
        </w:rPr>
        <w:t>OPC’s “website can support parents/caregivers to learn more about Internet safety, and protecting personal safety by including links that provide up-to-date, relevant, referenced, informative resources that are available in video (with CC</w:t>
      </w:r>
      <w:r w:rsidR="00887DE8" w:rsidRPr="00883538">
        <w:rPr>
          <w:rFonts w:cs="Arial"/>
          <w:b/>
          <w:bCs/>
          <w:color w:val="6B8941"/>
          <w:szCs w:val="24"/>
        </w:rPr>
        <w:t xml:space="preserve"> [closed captioning/subtitles]</w:t>
      </w:r>
      <w:r w:rsidRPr="00883538">
        <w:rPr>
          <w:rFonts w:cs="Arial"/>
          <w:b/>
          <w:bCs/>
          <w:color w:val="6B8941"/>
          <w:szCs w:val="24"/>
        </w:rPr>
        <w:t>), written and audio format.”</w:t>
      </w:r>
    </w:p>
    <w:p w14:paraId="7252B131" w14:textId="77777777" w:rsidR="00883538" w:rsidRDefault="00883538" w:rsidP="00883538">
      <w:pPr>
        <w:spacing w:after="0"/>
        <w:jc w:val="center"/>
        <w:rPr>
          <w:rFonts w:cs="Arial"/>
          <w:b/>
          <w:bCs/>
          <w:color w:val="6B8941"/>
          <w:szCs w:val="24"/>
        </w:rPr>
      </w:pPr>
      <w:r>
        <w:rPr>
          <w:rFonts w:cs="Arial"/>
          <w:sz w:val="16"/>
          <w:szCs w:val="16"/>
        </w:rPr>
        <w:t>Survey respondent.</w:t>
      </w:r>
    </w:p>
    <w:p w14:paraId="1B32F005" w14:textId="77777777" w:rsidR="008B5075" w:rsidRPr="00960A74" w:rsidRDefault="008B5075" w:rsidP="00883538">
      <w:pPr>
        <w:spacing w:after="0"/>
        <w:rPr>
          <w:rFonts w:cs="Arial"/>
          <w:i/>
          <w:iCs/>
          <w:szCs w:val="24"/>
        </w:rPr>
      </w:pPr>
    </w:p>
    <w:p w14:paraId="0994B7F8" w14:textId="2A406CA7" w:rsidR="00883538" w:rsidRDefault="00B33C51" w:rsidP="00883538">
      <w:pPr>
        <w:spacing w:after="0"/>
        <w:jc w:val="center"/>
        <w:rPr>
          <w:rFonts w:cs="Arial"/>
          <w:i/>
          <w:iCs/>
          <w:szCs w:val="24"/>
        </w:rPr>
      </w:pPr>
      <w:r w:rsidRPr="00883538">
        <w:rPr>
          <w:rFonts w:cs="Arial"/>
          <w:b/>
          <w:bCs/>
          <w:color w:val="6B8941"/>
          <w:szCs w:val="24"/>
        </w:rPr>
        <w:t xml:space="preserve">“This area is a minefield of opinion and covers a wide range of approaches to parenting. Some clearer guidelines would help families in their thinking and thus make it safer for children in an </w:t>
      </w:r>
      <w:r w:rsidR="001741E4" w:rsidRPr="00883538">
        <w:rPr>
          <w:rFonts w:cs="Arial"/>
          <w:b/>
          <w:bCs/>
          <w:color w:val="6B8941"/>
          <w:szCs w:val="24"/>
        </w:rPr>
        <w:t>ever-changing</w:t>
      </w:r>
      <w:r w:rsidRPr="00883538">
        <w:rPr>
          <w:rFonts w:cs="Arial"/>
          <w:b/>
          <w:bCs/>
          <w:color w:val="6B8941"/>
          <w:szCs w:val="24"/>
        </w:rPr>
        <w:t xml:space="preserve"> information world.”</w:t>
      </w:r>
    </w:p>
    <w:p w14:paraId="3FC1C217" w14:textId="7BD33FBD" w:rsidR="00883538" w:rsidRPr="00477256" w:rsidRDefault="00942353" w:rsidP="00477256">
      <w:pPr>
        <w:spacing w:after="0"/>
        <w:jc w:val="center"/>
        <w:rPr>
          <w:rFonts w:cs="Arial"/>
          <w:b/>
          <w:bCs/>
          <w:color w:val="6B8941"/>
          <w:szCs w:val="24"/>
        </w:rPr>
      </w:pPr>
      <w:r>
        <w:rPr>
          <w:rFonts w:cs="Arial"/>
          <w:noProof/>
          <w:szCs w:val="24"/>
        </w:rPr>
        <mc:AlternateContent>
          <mc:Choice Requires="wps">
            <w:drawing>
              <wp:anchor distT="0" distB="0" distL="114300" distR="114300" simplePos="0" relativeHeight="251671552" behindDoc="0" locked="0" layoutInCell="1" allowOverlap="1" wp14:anchorId="357D7375" wp14:editId="7241253A">
                <wp:simplePos x="0" y="0"/>
                <wp:positionH relativeFrom="margin">
                  <wp:align>left</wp:align>
                </wp:positionH>
                <wp:positionV relativeFrom="paragraph">
                  <wp:posOffset>337185</wp:posOffset>
                </wp:positionV>
                <wp:extent cx="5754370" cy="2529205"/>
                <wp:effectExtent l="0" t="0" r="17780" b="23495"/>
                <wp:wrapTopAndBottom/>
                <wp:docPr id="1320539315" name="Rectangle 4" descr="What is guidance?&#10;Guidance explains how to apply the Privacy Act and the Information Privacy Principles. &#10;&#10;It can help organisations and individuals understand the privacy rules in a specific context, for example, the rental sector, or when using specific technology, for example artificial intelligence (AI). This can help organisations understand whether they are meeting their legal requirements under the Privacy Act or a Code of Practice. Guidance can also include educational resources to help people understand their privacy rights and what they can expect from organisations that hold their personal information."/>
                <wp:cNvGraphicFramePr/>
                <a:graphic xmlns:a="http://schemas.openxmlformats.org/drawingml/2006/main">
                  <a:graphicData uri="http://schemas.microsoft.com/office/word/2010/wordprocessingShape">
                    <wps:wsp>
                      <wps:cNvSpPr/>
                      <wps:spPr>
                        <a:xfrm>
                          <a:off x="0" y="0"/>
                          <a:ext cx="5754370" cy="2529205"/>
                        </a:xfrm>
                        <a:prstGeom prst="rect">
                          <a:avLst/>
                        </a:prstGeom>
                        <a:solidFill>
                          <a:srgbClr val="6E9A64"/>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04BAC" w14:textId="77777777" w:rsidR="00E81B4A" w:rsidRPr="00D05DFD" w:rsidRDefault="00E81B4A" w:rsidP="00D05DFD">
                            <w:pPr>
                              <w:pStyle w:val="Subheading"/>
                            </w:pPr>
                            <w:bookmarkStart w:id="0" w:name="_Hlk156484491"/>
                            <w:r w:rsidRPr="00D05DFD">
                              <w:t>What is guidance?</w:t>
                            </w:r>
                          </w:p>
                          <w:p w14:paraId="43218161" w14:textId="61C92FA2" w:rsidR="00E81B4A" w:rsidRPr="009B4A95" w:rsidRDefault="00E81B4A" w:rsidP="00E81B4A">
                            <w:r w:rsidRPr="00E81B4A">
                              <w:t xml:space="preserve">Guidance explains how to apply the Privacy Act and the Information Privacy Principles. </w:t>
                            </w:r>
                            <w:r w:rsidRPr="000A0134">
                              <w:t>It can help organisations and individuals understand the privacy rules in a specific context, for example</w:t>
                            </w:r>
                            <w:r w:rsidRPr="00E81B4A">
                              <w:rPr>
                                <w:color w:val="E7E6E6" w:themeColor="background2"/>
                              </w:rPr>
                              <w:t xml:space="preserve">, </w:t>
                            </w:r>
                            <w:hyperlink r:id="rId14" w:history="1">
                              <w:r w:rsidRPr="00E81B4A">
                                <w:rPr>
                                  <w:rStyle w:val="Hyperlink"/>
                                  <w:rFonts w:cs="Arial"/>
                                  <w:color w:val="E7E6E6" w:themeColor="background2"/>
                                  <w:szCs w:val="24"/>
                                </w:rPr>
                                <w:t>the rental sector</w:t>
                              </w:r>
                            </w:hyperlink>
                            <w:r w:rsidRPr="00E81B4A">
                              <w:rPr>
                                <w:color w:val="E7E6E6" w:themeColor="background2"/>
                              </w:rPr>
                              <w:t xml:space="preserve">, </w:t>
                            </w:r>
                            <w:r w:rsidRPr="000A0134">
                              <w:t xml:space="preserve">or when using specific technology, for example </w:t>
                            </w:r>
                            <w:hyperlink r:id="rId15" w:history="1">
                              <w:r w:rsidRPr="00E81B4A">
                                <w:rPr>
                                  <w:rStyle w:val="Hyperlink"/>
                                  <w:rFonts w:cs="Arial"/>
                                  <w:color w:val="E7E6E6" w:themeColor="background2"/>
                                  <w:szCs w:val="24"/>
                                </w:rPr>
                                <w:t>artificial intelligence</w:t>
                              </w:r>
                            </w:hyperlink>
                            <w:r w:rsidRPr="00E81B4A">
                              <w:rPr>
                                <w:color w:val="E7E6E6" w:themeColor="background2"/>
                              </w:rPr>
                              <w:t xml:space="preserve"> </w:t>
                            </w:r>
                            <w:r w:rsidRPr="000A0134">
                              <w:t>(AI). This can help organisations understand whether they are meeting their legal requirements under the Privacy Act or a Code of Practice. Guidance can also include educational resources to help people understand their privacy rights and what they can expect from organisations that hold their personal information.</w:t>
                            </w:r>
                            <w:bookmarkEnd w:id="0"/>
                          </w:p>
                          <w:p w14:paraId="4E99F000" w14:textId="77777777" w:rsidR="00E81B4A" w:rsidRDefault="00E81B4A" w:rsidP="00E81B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D7375" id="Rectangle 4" o:spid="_x0000_s1026" alt="What is guidance?&#10;Guidance explains how to apply the Privacy Act and the Information Privacy Principles. &#10;&#10;It can help organisations and individuals understand the privacy rules in a specific context, for example, the rental sector, or when using specific technology, for example artificial intelligence (AI). This can help organisations understand whether they are meeting their legal requirements under the Privacy Act or a Code of Practice. Guidance can also include educational resources to help people understand their privacy rights and what they can expect from organisations that hold their personal information." style="position:absolute;left:0;text-align:left;margin-left:0;margin-top:26.55pt;width:453.1pt;height:199.1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" fillcolor="#6e9a64" strokecolor="#538135 [2409]" strokeweight="1pt">
                <v:textbox>
                  <w:txbxContent>
                    <w:p w14:paraId="44604BAC" w14:textId="77777777" w:rsidR="00E81B4A" w:rsidRPr="00D05DFD" w:rsidRDefault="00E81B4A" w:rsidP="00D05DFD">
                      <w:pPr>
                        <w:pStyle w:val="Subheading"/>
                      </w:pPr>
                      <w:bookmarkStart w:id="1" w:name="_Hlk156484491"/>
                      <w:r w:rsidRPr="00D05DFD">
                        <w:t>What is guidance?</w:t>
                      </w:r>
                    </w:p>
                    <w:p w14:paraId="43218161" w14:textId="61C92FA2" w:rsidR="00E81B4A" w:rsidRPr="009B4A95" w:rsidRDefault="00E81B4A" w:rsidP="00E81B4A">
                      <w:r w:rsidRPr="00E81B4A">
                        <w:t xml:space="preserve">Guidance explains how to apply the Privacy Act and the Information Privacy Principles. </w:t>
                      </w:r>
                      <w:r w:rsidRPr="000A0134">
                        <w:t>It can help organisations and individuals understand the privacy rules in a specific context, for example</w:t>
                      </w:r>
                      <w:r w:rsidRPr="00E81B4A">
                        <w:rPr>
                          <w:color w:val="E7E6E6" w:themeColor="background2"/>
                        </w:rPr>
                        <w:t xml:space="preserve">, </w:t>
                      </w:r>
                      <w:hyperlink r:id="rId16" w:history="1">
                        <w:r w:rsidRPr="00E81B4A">
                          <w:rPr>
                            <w:rStyle w:val="Hyperlink"/>
                            <w:rFonts w:cs="Arial"/>
                            <w:color w:val="E7E6E6" w:themeColor="background2"/>
                            <w:szCs w:val="24"/>
                          </w:rPr>
                          <w:t>the rental sector</w:t>
                        </w:r>
                      </w:hyperlink>
                      <w:r w:rsidRPr="00E81B4A">
                        <w:rPr>
                          <w:color w:val="E7E6E6" w:themeColor="background2"/>
                        </w:rPr>
                        <w:t xml:space="preserve">, </w:t>
                      </w:r>
                      <w:r w:rsidRPr="000A0134">
                        <w:t xml:space="preserve">or when using specific technology, for example </w:t>
                      </w:r>
                      <w:hyperlink r:id="rId17" w:history="1">
                        <w:r w:rsidRPr="00E81B4A">
                          <w:rPr>
                            <w:rStyle w:val="Hyperlink"/>
                            <w:rFonts w:cs="Arial"/>
                            <w:color w:val="E7E6E6" w:themeColor="background2"/>
                            <w:szCs w:val="24"/>
                          </w:rPr>
                          <w:t>artificial intelligence</w:t>
                        </w:r>
                      </w:hyperlink>
                      <w:r w:rsidRPr="00E81B4A">
                        <w:rPr>
                          <w:color w:val="E7E6E6" w:themeColor="background2"/>
                        </w:rPr>
                        <w:t xml:space="preserve"> </w:t>
                      </w:r>
                      <w:r w:rsidRPr="000A0134">
                        <w:t>(AI). This can help organisations understand whether they are meeting their legal requirements under the Privacy Act or a Code of Practice. Guidance can also include educational resources to help people understand their privacy rights and what they can expect from organisations that hold their personal information.</w:t>
                      </w:r>
                      <w:bookmarkEnd w:id="1"/>
                    </w:p>
                    <w:p w14:paraId="4E99F000" w14:textId="77777777" w:rsidR="00E81B4A" w:rsidRDefault="00E81B4A" w:rsidP="00E81B4A">
                      <w:pPr>
                        <w:jc w:val="center"/>
                      </w:pPr>
                    </w:p>
                  </w:txbxContent>
                </v:textbox>
                <w10:wrap type="topAndBottom" anchorx="margin"/>
              </v:rect>
            </w:pict>
          </mc:Fallback>
        </mc:AlternateContent>
      </w:r>
      <w:r w:rsidR="00883538">
        <w:rPr>
          <w:rFonts w:cs="Arial"/>
          <w:sz w:val="16"/>
          <w:szCs w:val="16"/>
        </w:rPr>
        <w:t>Survey respondent.</w:t>
      </w:r>
    </w:p>
    <w:p w14:paraId="23E90B0F" w14:textId="535B9796" w:rsidR="00E81B4A" w:rsidRPr="00E81B4A" w:rsidRDefault="00E81B4A" w:rsidP="00E81B4A">
      <w:pPr>
        <w:spacing w:after="0"/>
        <w:ind w:left="720"/>
        <w:rPr>
          <w:rFonts w:cs="Arial"/>
          <w:i/>
          <w:iCs/>
          <w:szCs w:val="24"/>
        </w:rPr>
      </w:pPr>
    </w:p>
    <w:p w14:paraId="2A483131" w14:textId="22C2BD68" w:rsidR="00986181" w:rsidRPr="00E81B4A" w:rsidRDefault="00986181" w:rsidP="00D05DFD">
      <w:pPr>
        <w:pStyle w:val="Subheading"/>
      </w:pPr>
      <w:r w:rsidRPr="00E81B4A">
        <w:t xml:space="preserve">Guidance for </w:t>
      </w:r>
      <w:r w:rsidR="004A4D5C" w:rsidRPr="00E81B4A">
        <w:t>tamariki/</w:t>
      </w:r>
      <w:r w:rsidRPr="00E81B4A">
        <w:t>children</w:t>
      </w:r>
    </w:p>
    <w:p w14:paraId="736E040F" w14:textId="31851CA7" w:rsidR="009D2BC2" w:rsidRDefault="00811465" w:rsidP="009B4A95">
      <w:pPr>
        <w:spacing w:afterLines="120" w:after="288"/>
      </w:pPr>
      <w:r w:rsidRPr="00960A74">
        <w:t xml:space="preserve">Many respondents noted the need for child-friendly and age-appropriate resources. Some respondents explained that if </w:t>
      </w:r>
      <w:r w:rsidR="004A4D5C" w:rsidRPr="00960A74">
        <w:t>tamariki/</w:t>
      </w:r>
      <w:r w:rsidRPr="00960A74">
        <w:t>children aren’t informed about their privacy rights, then they cannot enforce them or understand when their privacy has been breached</w:t>
      </w:r>
      <w:r w:rsidR="004300D4" w:rsidRPr="00960A74">
        <w:t>.</w:t>
      </w:r>
    </w:p>
    <w:p w14:paraId="7BA65AF9" w14:textId="77777777" w:rsidR="00942353" w:rsidRDefault="00942353" w:rsidP="009B4A95">
      <w:pPr>
        <w:spacing w:afterLines="120" w:after="288"/>
      </w:pPr>
    </w:p>
    <w:p w14:paraId="7F6CD6DB" w14:textId="1AFDA3C0" w:rsidR="00942353" w:rsidRPr="00960A74" w:rsidRDefault="00230474" w:rsidP="009B4A95">
      <w:pPr>
        <w:spacing w:afterLines="120" w:after="288"/>
      </w:pPr>
      <w:r w:rsidRPr="00960A74">
        <w:lastRenderedPageBreak/>
        <w:t xml:space="preserve">Respondents said that guidance for </w:t>
      </w:r>
      <w:r w:rsidR="004A4D5C" w:rsidRPr="00960A74">
        <w:t>tamariki/</w:t>
      </w:r>
      <w:r w:rsidRPr="00960A74">
        <w:t>children needed to be in plain, child-friendly language, targeted at a variety of age groups, and in multiple formats, such as, posters, pamphlets, videos, and e-learning modules.</w:t>
      </w:r>
      <w:r w:rsidR="00875D75" w:rsidRPr="00960A74">
        <w:t xml:space="preserve"> </w:t>
      </w:r>
    </w:p>
    <w:p w14:paraId="48165366" w14:textId="1FB9A6C6" w:rsidR="00883538" w:rsidRDefault="00E151DC" w:rsidP="009B4A95">
      <w:pPr>
        <w:spacing w:afterLines="120" w:after="288"/>
      </w:pPr>
      <w:r w:rsidRPr="00960A74">
        <w:t xml:space="preserve">Guidance should acknowledge the daily lives of </w:t>
      </w:r>
      <w:r w:rsidR="002D31CE" w:rsidRPr="00960A74">
        <w:t>tamariki/</w:t>
      </w:r>
      <w:r w:rsidRPr="00960A74">
        <w:t>children –</w:t>
      </w:r>
      <w:r w:rsidR="00883538">
        <w:t xml:space="preserve"> </w:t>
      </w:r>
      <w:r w:rsidR="0070773F" w:rsidRPr="00960A74">
        <w:t xml:space="preserve">they </w:t>
      </w:r>
      <w:r w:rsidRPr="00960A74">
        <w:t xml:space="preserve">are online using social media and gaming platforms, they use technology in the classroom, and they </w:t>
      </w:r>
      <w:r w:rsidR="00855B0A" w:rsidRPr="00960A74">
        <w:t>do not always understand how to do so safely.</w:t>
      </w:r>
      <w:r w:rsidRPr="00960A74">
        <w:t xml:space="preserve"> </w:t>
      </w:r>
      <w:r w:rsidR="002D31CE" w:rsidRPr="00960A74">
        <w:t>Tamariki/c</w:t>
      </w:r>
      <w:r w:rsidR="00875D75" w:rsidRPr="00960A74">
        <w:t>hildren are more vulnerable than adults to privacy harms, and guidance will help to educate them from a young age.</w:t>
      </w:r>
    </w:p>
    <w:p w14:paraId="1A89AB4E" w14:textId="77777777" w:rsidR="00D05DFD" w:rsidRPr="00D05DFD" w:rsidRDefault="00D05DFD" w:rsidP="00D05DFD">
      <w:pPr>
        <w:spacing w:after="160" w:line="259" w:lineRule="auto"/>
      </w:pPr>
    </w:p>
    <w:p w14:paraId="57552203" w14:textId="66B8C116" w:rsidR="00883538" w:rsidRDefault="00C93E05" w:rsidP="00883538">
      <w:pPr>
        <w:spacing w:after="0"/>
        <w:jc w:val="center"/>
        <w:rPr>
          <w:rFonts w:cs="Arial"/>
          <w:i/>
          <w:iCs/>
          <w:color w:val="6B8941"/>
          <w:szCs w:val="24"/>
        </w:rPr>
      </w:pPr>
      <w:r w:rsidRPr="00883538">
        <w:rPr>
          <w:rFonts w:cs="Arial"/>
          <w:b/>
          <w:bCs/>
          <w:color w:val="6B8941"/>
          <w:szCs w:val="24"/>
        </w:rPr>
        <w:t>“</w:t>
      </w:r>
      <w:r w:rsidR="00875D75" w:rsidRPr="00883538">
        <w:rPr>
          <w:rFonts w:cs="Arial"/>
          <w:b/>
          <w:bCs/>
          <w:color w:val="6B8941"/>
          <w:szCs w:val="24"/>
        </w:rPr>
        <w:t>Children are inherently more vulnerable due to their limited capacity to understand the privacy risks and harms or to exercise their rights as data subjects.”</w:t>
      </w:r>
    </w:p>
    <w:p w14:paraId="33BFF8CE" w14:textId="3FD980CF" w:rsidR="00477256" w:rsidRPr="00477256" w:rsidRDefault="00883538" w:rsidP="00477256">
      <w:pPr>
        <w:spacing w:after="0"/>
        <w:jc w:val="center"/>
        <w:rPr>
          <w:rFonts w:cs="Arial"/>
          <w:b/>
          <w:bCs/>
          <w:color w:val="6B8941"/>
          <w:szCs w:val="24"/>
        </w:rPr>
      </w:pPr>
      <w:r>
        <w:rPr>
          <w:rFonts w:cs="Arial"/>
          <w:sz w:val="16"/>
          <w:szCs w:val="16"/>
        </w:rPr>
        <w:t>Survey respondent.</w:t>
      </w:r>
    </w:p>
    <w:p w14:paraId="2264FF71" w14:textId="77777777" w:rsidR="00883538" w:rsidRDefault="00883538" w:rsidP="00E80A92">
      <w:pPr>
        <w:spacing w:after="0"/>
        <w:rPr>
          <w:rFonts w:cs="Arial"/>
          <w:i/>
          <w:iCs/>
          <w:color w:val="6B8941"/>
          <w:szCs w:val="24"/>
        </w:rPr>
      </w:pPr>
    </w:p>
    <w:p w14:paraId="5E422E97" w14:textId="69CDC8A4" w:rsidR="00883538" w:rsidRDefault="003744F4" w:rsidP="00883538">
      <w:pPr>
        <w:spacing w:after="0"/>
        <w:jc w:val="center"/>
        <w:rPr>
          <w:rFonts w:cs="Arial"/>
          <w:b/>
          <w:bCs/>
          <w:color w:val="6B8941"/>
          <w:szCs w:val="24"/>
        </w:rPr>
      </w:pPr>
      <w:r w:rsidRPr="00883538">
        <w:rPr>
          <w:rFonts w:cs="Arial"/>
          <w:b/>
          <w:bCs/>
          <w:color w:val="6B8941"/>
          <w:szCs w:val="24"/>
        </w:rPr>
        <w:t xml:space="preserve"> “</w:t>
      </w:r>
      <w:r w:rsidR="004C101A">
        <w:rPr>
          <w:rFonts w:cs="Arial"/>
          <w:b/>
          <w:bCs/>
          <w:color w:val="6B8941"/>
          <w:szCs w:val="24"/>
        </w:rPr>
        <w:t xml:space="preserve">[We] </w:t>
      </w:r>
      <w:r w:rsidRPr="00883538">
        <w:rPr>
          <w:rFonts w:cs="Arial"/>
          <w:b/>
          <w:bCs/>
          <w:color w:val="6B8941"/>
          <w:szCs w:val="24"/>
        </w:rPr>
        <w:t>would like to see the development of tools to alert/help young people keep themselves safe online and aware of privacy risks.”</w:t>
      </w:r>
    </w:p>
    <w:p w14:paraId="410EDF07" w14:textId="3F1C2A9E" w:rsidR="00883538" w:rsidRDefault="00883538" w:rsidP="00883538">
      <w:pPr>
        <w:spacing w:after="0"/>
        <w:jc w:val="center"/>
        <w:rPr>
          <w:rFonts w:cs="Arial"/>
          <w:b/>
          <w:bCs/>
          <w:color w:val="6B8941"/>
          <w:szCs w:val="24"/>
        </w:rPr>
      </w:pPr>
      <w:r>
        <w:rPr>
          <w:rFonts w:cs="Arial"/>
          <w:sz w:val="16"/>
          <w:szCs w:val="16"/>
        </w:rPr>
        <w:t>Government agency</w:t>
      </w:r>
      <w:r w:rsidR="00D01DBA">
        <w:rPr>
          <w:rFonts w:cs="Arial"/>
          <w:sz w:val="16"/>
          <w:szCs w:val="16"/>
        </w:rPr>
        <w:t>/peak body</w:t>
      </w:r>
      <w:r>
        <w:rPr>
          <w:rFonts w:cs="Arial"/>
          <w:sz w:val="16"/>
          <w:szCs w:val="16"/>
        </w:rPr>
        <w:t>.</w:t>
      </w:r>
    </w:p>
    <w:p w14:paraId="10508F49" w14:textId="70E0F7A8" w:rsidR="00C93E05" w:rsidRPr="00960A74" w:rsidRDefault="00C93E05" w:rsidP="00883538">
      <w:pPr>
        <w:spacing w:after="0"/>
        <w:rPr>
          <w:rFonts w:cs="Arial"/>
          <w:szCs w:val="24"/>
        </w:rPr>
      </w:pPr>
    </w:p>
    <w:p w14:paraId="04C7BB96" w14:textId="77777777" w:rsidR="00EE6AEF" w:rsidRPr="00F458EB" w:rsidRDefault="00875D75" w:rsidP="00F458EB">
      <w:pPr>
        <w:pStyle w:val="Subheading"/>
      </w:pPr>
      <w:r w:rsidRPr="00F458EB">
        <w:t>Guidance for professionals</w:t>
      </w:r>
    </w:p>
    <w:p w14:paraId="21C4A160" w14:textId="77777777" w:rsidR="00883538" w:rsidRDefault="006F6604" w:rsidP="009B4A95">
      <w:pPr>
        <w:spacing w:afterLines="120" w:after="288"/>
      </w:pPr>
      <w:r w:rsidRPr="00960A74">
        <w:t xml:space="preserve">Overwhelmingly, we heard that privacy guidance is needed for professionals who work with </w:t>
      </w:r>
      <w:r w:rsidR="002D31CE" w:rsidRPr="00960A74">
        <w:t>tamariki/</w:t>
      </w:r>
      <w:r w:rsidRPr="00960A74">
        <w:t xml:space="preserve">children. This message </w:t>
      </w:r>
      <w:r w:rsidR="005F00C9" w:rsidRPr="00960A74">
        <w:t xml:space="preserve">is bolstered by the </w:t>
      </w:r>
      <w:r w:rsidRPr="00960A74">
        <w:t>high response rate</w:t>
      </w:r>
      <w:r w:rsidR="005F00C9" w:rsidRPr="00960A74">
        <w:t xml:space="preserve"> we had</w:t>
      </w:r>
      <w:r w:rsidRPr="00960A74">
        <w:t xml:space="preserve"> from people in the education and health sector (75% of survey respondents</w:t>
      </w:r>
      <w:r w:rsidR="005F00C9" w:rsidRPr="00960A74">
        <w:t>)</w:t>
      </w:r>
      <w:r w:rsidR="00CB5B79" w:rsidRPr="00960A74">
        <w:t xml:space="preserve">. </w:t>
      </w:r>
    </w:p>
    <w:p w14:paraId="0FA20C9D" w14:textId="0F7FCDC0" w:rsidR="00942353" w:rsidRPr="00477256" w:rsidRDefault="00CB5B79" w:rsidP="009B4A95">
      <w:pPr>
        <w:spacing w:afterLines="120" w:after="288"/>
      </w:pPr>
      <w:r w:rsidRPr="00960A74">
        <w:t xml:space="preserve">When asked for their opinion on ways to better support their profession, 42% of survey respondents mentioned that there needs to be clear guidance on </w:t>
      </w:r>
      <w:r w:rsidR="002D31CE" w:rsidRPr="00960A74">
        <w:t>tamariki/</w:t>
      </w:r>
      <w:r w:rsidRPr="00960A74">
        <w:t>children’s privacy for their sector, and 33% said that they wanted privacy training at work.</w:t>
      </w:r>
    </w:p>
    <w:p w14:paraId="1D1F9FD2" w14:textId="5C6BE9EB" w:rsidR="009A5C6D" w:rsidRDefault="009A5C6D" w:rsidP="009B4A95">
      <w:pPr>
        <w:spacing w:afterLines="120" w:after="288"/>
      </w:pPr>
      <w:r w:rsidRPr="00960A74">
        <w:t xml:space="preserve">Based on </w:t>
      </w:r>
      <w:r w:rsidR="00CB5B79" w:rsidRPr="00960A74">
        <w:t>the submissions we received,</w:t>
      </w:r>
      <w:r w:rsidRPr="00960A74">
        <w:t xml:space="preserve"> we know that guidance is needed for professionals working in the education, health, and social service sectors. We also understand there should be some overall guidance that could be applied to any sector that collects </w:t>
      </w:r>
      <w:r w:rsidR="002D31CE" w:rsidRPr="00960A74">
        <w:t>tamariki/</w:t>
      </w:r>
      <w:r w:rsidRPr="00960A74">
        <w:t>children’s information.</w:t>
      </w:r>
    </w:p>
    <w:p w14:paraId="30AEAC09" w14:textId="77777777" w:rsidR="0070773F" w:rsidRPr="00960A74" w:rsidRDefault="009A5C6D" w:rsidP="009B4A95">
      <w:pPr>
        <w:spacing w:afterLines="120" w:after="288"/>
      </w:pPr>
      <w:r w:rsidRPr="00960A74">
        <w:lastRenderedPageBreak/>
        <w:t xml:space="preserve">Respondents explained that guidance should factor in the daily reality of their work, </w:t>
      </w:r>
      <w:r w:rsidR="004C7D18" w:rsidRPr="00960A74">
        <w:t xml:space="preserve">recognising that best practice varies based on their job, the age or capacity of the child, and the information they hold (for example, if it is sensitive information). </w:t>
      </w:r>
    </w:p>
    <w:p w14:paraId="002412DF" w14:textId="73FC6F03" w:rsidR="00942353" w:rsidRDefault="00992691" w:rsidP="009B4A95">
      <w:pPr>
        <w:spacing w:afterLines="120" w:after="288"/>
      </w:pPr>
      <w:r w:rsidRPr="00960A74">
        <w:t xml:space="preserve">Guidance should help professionals make decisions about </w:t>
      </w:r>
      <w:r w:rsidR="002D31CE" w:rsidRPr="00960A74">
        <w:t>tamariki/</w:t>
      </w:r>
      <w:r w:rsidRPr="00960A74">
        <w:t>children’s information, for example, what to collect and when to share it, noting that it will not always be straightforward</w:t>
      </w:r>
      <w:r w:rsidR="009F52E7" w:rsidRPr="00960A74">
        <w:t>, and should also be informed by other various legal, professional</w:t>
      </w:r>
      <w:r w:rsidR="00A14F1C">
        <w:t>,</w:t>
      </w:r>
      <w:r w:rsidR="009F52E7" w:rsidRPr="00960A74">
        <w:t xml:space="preserve"> and ethical frameworks that apply in different sectors</w:t>
      </w:r>
      <w:r w:rsidRPr="00960A74">
        <w:t xml:space="preserve">. </w:t>
      </w:r>
    </w:p>
    <w:p w14:paraId="60DEC70C" w14:textId="7D2F8DFD" w:rsidR="006F6604" w:rsidRDefault="00431E4B" w:rsidP="009B4A95">
      <w:pPr>
        <w:spacing w:afterLines="120" w:after="288"/>
      </w:pPr>
      <w:r w:rsidRPr="00960A74">
        <w:t xml:space="preserve">One response noted that there tend to be very different privacy practices across different sectors, so there will need to be overall guidance on </w:t>
      </w:r>
      <w:r w:rsidR="002D31CE" w:rsidRPr="00960A74">
        <w:t>tamariki/</w:t>
      </w:r>
      <w:r w:rsidRPr="00960A74">
        <w:t xml:space="preserve">children’s privacy to help </w:t>
      </w:r>
      <w:r w:rsidR="004A4407" w:rsidRPr="00960A74">
        <w:t xml:space="preserve">guide more cohesive approaches managing </w:t>
      </w:r>
      <w:r w:rsidR="002D31CE" w:rsidRPr="00960A74">
        <w:t>tamariki/</w:t>
      </w:r>
      <w:r w:rsidR="004A4407" w:rsidRPr="00960A74">
        <w:t>children’s information.</w:t>
      </w:r>
    </w:p>
    <w:p w14:paraId="5940DC8D" w14:textId="77777777" w:rsidR="00883538" w:rsidRDefault="00883538" w:rsidP="00883538">
      <w:pPr>
        <w:spacing w:after="0"/>
        <w:rPr>
          <w:rFonts w:cs="Arial"/>
          <w:szCs w:val="24"/>
        </w:rPr>
      </w:pPr>
    </w:p>
    <w:p w14:paraId="198717AE" w14:textId="285A027D" w:rsidR="00883538" w:rsidRPr="00883538" w:rsidRDefault="004A4407" w:rsidP="00883538">
      <w:pPr>
        <w:spacing w:after="0"/>
        <w:jc w:val="center"/>
        <w:rPr>
          <w:rFonts w:cs="Arial"/>
          <w:b/>
          <w:bCs/>
          <w:color w:val="6B8941"/>
          <w:szCs w:val="24"/>
        </w:rPr>
      </w:pPr>
      <w:r w:rsidRPr="00883538">
        <w:rPr>
          <w:rFonts w:cs="Arial"/>
          <w:b/>
          <w:bCs/>
          <w:color w:val="6B8941"/>
          <w:szCs w:val="24"/>
        </w:rPr>
        <w:t>“We also recommend that schools are provided with appropriate sector specific guidelines to enable them to understand the scope and use of the information they hold about children.”</w:t>
      </w:r>
    </w:p>
    <w:p w14:paraId="419D2C6B" w14:textId="7E82624E" w:rsidR="00883538" w:rsidRDefault="00883538" w:rsidP="00883538">
      <w:pPr>
        <w:spacing w:after="0"/>
        <w:jc w:val="center"/>
        <w:rPr>
          <w:rFonts w:cs="Arial"/>
          <w:b/>
          <w:bCs/>
          <w:color w:val="6B8941"/>
          <w:szCs w:val="24"/>
        </w:rPr>
      </w:pPr>
      <w:r>
        <w:rPr>
          <w:rFonts w:cs="Arial"/>
          <w:sz w:val="16"/>
          <w:szCs w:val="16"/>
        </w:rPr>
        <w:t>Written submission.</w:t>
      </w:r>
    </w:p>
    <w:p w14:paraId="1D800151" w14:textId="77777777" w:rsidR="00883538" w:rsidRDefault="00883538" w:rsidP="00883538">
      <w:pPr>
        <w:spacing w:after="0"/>
        <w:rPr>
          <w:rFonts w:cs="Arial"/>
          <w:b/>
          <w:bCs/>
          <w:szCs w:val="24"/>
        </w:rPr>
      </w:pPr>
    </w:p>
    <w:p w14:paraId="51EF8215" w14:textId="2636C067" w:rsidR="00883538" w:rsidRDefault="004A4407" w:rsidP="00883538">
      <w:pPr>
        <w:spacing w:after="0"/>
        <w:jc w:val="center"/>
        <w:rPr>
          <w:rFonts w:cs="Arial"/>
          <w:b/>
          <w:bCs/>
          <w:color w:val="6B8941"/>
          <w:szCs w:val="24"/>
        </w:rPr>
      </w:pPr>
      <w:r w:rsidRPr="00883538">
        <w:rPr>
          <w:rFonts w:cs="Arial"/>
          <w:b/>
          <w:bCs/>
          <w:color w:val="6B8941"/>
          <w:szCs w:val="24"/>
        </w:rPr>
        <w:t>“We strongly suggest the need for training and professional development to be in the policy project, taking into account the different roles and responsibilities that people may have.”</w:t>
      </w:r>
    </w:p>
    <w:p w14:paraId="743C3E77" w14:textId="2916BF67" w:rsidR="00883538" w:rsidRDefault="00883538" w:rsidP="00883538">
      <w:pPr>
        <w:spacing w:after="0"/>
        <w:jc w:val="center"/>
        <w:rPr>
          <w:rFonts w:cs="Arial"/>
          <w:sz w:val="16"/>
          <w:szCs w:val="16"/>
        </w:rPr>
      </w:pPr>
      <w:r>
        <w:rPr>
          <w:rFonts w:cs="Arial"/>
          <w:sz w:val="16"/>
          <w:szCs w:val="16"/>
        </w:rPr>
        <w:t>Government agency</w:t>
      </w:r>
      <w:r w:rsidR="00D01DBA">
        <w:rPr>
          <w:rFonts w:cs="Arial"/>
          <w:sz w:val="16"/>
          <w:szCs w:val="16"/>
        </w:rPr>
        <w:t>/peak body</w:t>
      </w:r>
      <w:r>
        <w:rPr>
          <w:rFonts w:cs="Arial"/>
          <w:sz w:val="16"/>
          <w:szCs w:val="16"/>
        </w:rPr>
        <w:t>.</w:t>
      </w:r>
    </w:p>
    <w:p w14:paraId="07774E31" w14:textId="77777777" w:rsidR="00942353" w:rsidRDefault="00942353" w:rsidP="00942353">
      <w:pPr>
        <w:spacing w:after="160" w:line="259" w:lineRule="auto"/>
        <w:rPr>
          <w:rFonts w:cs="Arial"/>
          <w:sz w:val="16"/>
          <w:szCs w:val="16"/>
        </w:rPr>
      </w:pPr>
    </w:p>
    <w:p w14:paraId="5DB38716" w14:textId="3A270F00" w:rsidR="00883538" w:rsidRPr="00942353" w:rsidRDefault="00E92107" w:rsidP="00942353">
      <w:pPr>
        <w:spacing w:after="160" w:line="259" w:lineRule="auto"/>
        <w:jc w:val="center"/>
        <w:rPr>
          <w:rFonts w:cs="Arial"/>
          <w:sz w:val="16"/>
          <w:szCs w:val="16"/>
        </w:rPr>
      </w:pPr>
      <w:r w:rsidRPr="00883538">
        <w:rPr>
          <w:rFonts w:cs="Arial"/>
          <w:b/>
          <w:bCs/>
          <w:color w:val="6B8941"/>
          <w:szCs w:val="24"/>
        </w:rPr>
        <w:t xml:space="preserve">When talking about parents requesting access to a child’s </w:t>
      </w:r>
      <w:r w:rsidR="00A14F1C">
        <w:rPr>
          <w:rFonts w:cs="Arial"/>
          <w:b/>
          <w:bCs/>
          <w:color w:val="6B8941"/>
          <w:szCs w:val="24"/>
        </w:rPr>
        <w:t>personal information</w:t>
      </w:r>
      <w:r w:rsidRPr="00883538">
        <w:rPr>
          <w:rFonts w:cs="Arial"/>
          <w:b/>
          <w:bCs/>
          <w:color w:val="6B8941"/>
          <w:szCs w:val="24"/>
        </w:rPr>
        <w:t>: “I think that there needs to be consideration of how accessing this information will help or hinder the young person. It would be great if there were clear guidelines on how to do this.”</w:t>
      </w:r>
    </w:p>
    <w:p w14:paraId="6FE4D1FB" w14:textId="65EF608A" w:rsidR="00E92107" w:rsidRPr="00F458EB" w:rsidRDefault="00841756" w:rsidP="00F458EB">
      <w:pPr>
        <w:spacing w:after="0"/>
        <w:jc w:val="center"/>
        <w:rPr>
          <w:rFonts w:cs="Arial"/>
          <w:b/>
          <w:bCs/>
          <w:color w:val="6B8941"/>
          <w:szCs w:val="24"/>
        </w:rPr>
      </w:pPr>
      <w:r>
        <w:rPr>
          <w:rFonts w:cs="Arial"/>
          <w:sz w:val="16"/>
          <w:szCs w:val="16"/>
        </w:rPr>
        <w:t>Survey respondent.</w:t>
      </w:r>
    </w:p>
    <w:p w14:paraId="45EF2FAD" w14:textId="32A24806" w:rsidR="00841756" w:rsidRDefault="00841756" w:rsidP="00FB0C93">
      <w:pPr>
        <w:spacing w:after="0"/>
        <w:rPr>
          <w:rFonts w:cs="Arial"/>
          <w:szCs w:val="24"/>
          <w:u w:val="single"/>
        </w:rPr>
      </w:pPr>
    </w:p>
    <w:p w14:paraId="2ABAC508" w14:textId="77777777" w:rsidR="009B4A95" w:rsidRDefault="009B4A95">
      <w:pPr>
        <w:spacing w:after="160" w:line="259" w:lineRule="auto"/>
        <w:rPr>
          <w:rFonts w:cs="Arial"/>
          <w:b/>
          <w:bCs/>
          <w:color w:val="213C27"/>
          <w:sz w:val="28"/>
          <w:szCs w:val="24"/>
        </w:rPr>
      </w:pPr>
      <w:r>
        <w:br w:type="page"/>
      </w:r>
    </w:p>
    <w:p w14:paraId="22C9EA89" w14:textId="363BAF24" w:rsidR="004A4407" w:rsidRPr="00841756" w:rsidRDefault="00477256" w:rsidP="006875BB">
      <w:pPr>
        <w:pStyle w:val="Subheading"/>
      </w:pPr>
      <w:r w:rsidRPr="009D2BC2">
        <w:rPr>
          <w:noProof/>
        </w:rPr>
        <w:lastRenderedPageBreak/>
        <w:drawing>
          <wp:anchor distT="0" distB="0" distL="114300" distR="114300" simplePos="0" relativeHeight="251666432" behindDoc="0" locked="0" layoutInCell="1" allowOverlap="1" wp14:anchorId="71099CE3" wp14:editId="7B37691A">
            <wp:simplePos x="0" y="0"/>
            <wp:positionH relativeFrom="margin">
              <wp:posOffset>3949700</wp:posOffset>
            </wp:positionH>
            <wp:positionV relativeFrom="paragraph">
              <wp:posOffset>10160</wp:posOffset>
            </wp:positionV>
            <wp:extent cx="1543685" cy="1389380"/>
            <wp:effectExtent l="0" t="0" r="0" b="1270"/>
            <wp:wrapThrough wrapText="bothSides">
              <wp:wrapPolygon edited="0">
                <wp:start x="0" y="0"/>
                <wp:lineTo x="0" y="21324"/>
                <wp:lineTo x="21325" y="21324"/>
                <wp:lineTo x="21325" y="0"/>
                <wp:lineTo x="0" y="0"/>
              </wp:wrapPolygon>
            </wp:wrapThrough>
            <wp:docPr id="1173132276" name="Picture 1" descr="A hand holding a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32276" name="Picture 1" descr="A hand holding a pencil. "/>
                    <pic:cNvPicPr/>
                  </pic:nvPicPr>
                  <pic:blipFill>
                    <a:blip r:embed="rId18">
                      <a:extLst>
                        <a:ext uri="{28A0092B-C50C-407E-A947-70E740481C1C}">
                          <a14:useLocalDpi xmlns:a14="http://schemas.microsoft.com/office/drawing/2010/main" val="0"/>
                        </a:ext>
                      </a:extLst>
                    </a:blip>
                    <a:stretch>
                      <a:fillRect/>
                    </a:stretch>
                  </pic:blipFill>
                  <pic:spPr>
                    <a:xfrm>
                      <a:off x="0" y="0"/>
                      <a:ext cx="1543685" cy="1389380"/>
                    </a:xfrm>
                    <a:prstGeom prst="rect">
                      <a:avLst/>
                    </a:prstGeom>
                  </pic:spPr>
                </pic:pic>
              </a:graphicData>
            </a:graphic>
            <wp14:sizeRelH relativeFrom="margin">
              <wp14:pctWidth>0</wp14:pctWidth>
            </wp14:sizeRelH>
            <wp14:sizeRelV relativeFrom="margin">
              <wp14:pctHeight>0</wp14:pctHeight>
            </wp14:sizeRelV>
          </wp:anchor>
        </w:drawing>
      </w:r>
      <w:r w:rsidR="004A4407" w:rsidRPr="00841756">
        <w:t xml:space="preserve">Case study: EdTech </w:t>
      </w:r>
    </w:p>
    <w:p w14:paraId="518377D5" w14:textId="77777777" w:rsidR="00FF7D8B" w:rsidRDefault="004A4407" w:rsidP="009B4A95">
      <w:pPr>
        <w:spacing w:afterLines="120" w:after="288"/>
      </w:pPr>
      <w:r w:rsidRPr="00960A74">
        <w:t xml:space="preserve">One </w:t>
      </w:r>
      <w:r w:rsidR="00EE6AEF" w:rsidRPr="00960A74">
        <w:t xml:space="preserve">written </w:t>
      </w:r>
      <w:r w:rsidRPr="00960A74">
        <w:t>submission used EdTech</w:t>
      </w:r>
      <w:r w:rsidRPr="00960A74">
        <w:rPr>
          <w:rStyle w:val="FootnoteReference"/>
          <w:rFonts w:cs="Arial"/>
          <w:szCs w:val="24"/>
        </w:rPr>
        <w:footnoteReference w:id="2"/>
      </w:r>
      <w:r w:rsidRPr="00960A74">
        <w:t xml:space="preserve"> as a detailed example of an area where privacy guidance is needed. </w:t>
      </w:r>
    </w:p>
    <w:p w14:paraId="6D9E52E2" w14:textId="77777777" w:rsidR="00477256" w:rsidRDefault="00EE6AEF" w:rsidP="009B4A95">
      <w:pPr>
        <w:spacing w:afterLines="120" w:after="288"/>
      </w:pPr>
      <w:r w:rsidRPr="00960A74">
        <w:t xml:space="preserve">The submission explained that schools are not equipped to protect children’s privacy in the EdTech space. Firstly, there is a power imbalance between schools (particularly very small schools) and the EdTech companies providing their services. </w:t>
      </w:r>
    </w:p>
    <w:p w14:paraId="40DB72FA" w14:textId="17C7F8BE" w:rsidR="00841756" w:rsidRPr="00960A74" w:rsidRDefault="00EE6AEF" w:rsidP="009B4A95">
      <w:pPr>
        <w:spacing w:afterLines="120" w:after="288"/>
      </w:pPr>
      <w:r w:rsidRPr="00960A74">
        <w:t xml:space="preserve">Schools may not have the negotiating power to insert privacy protective clauses into contracts, which may leave </w:t>
      </w:r>
      <w:r w:rsidR="002D31CE" w:rsidRPr="00960A74">
        <w:t>tamariki/</w:t>
      </w:r>
      <w:r w:rsidRPr="00960A74">
        <w:t>children’s personal information vulnerable to the commercial interests of the EdTech provider. There is no oversight of these contracts, so it is unclear if those types of clauses are commonly used.</w:t>
      </w:r>
    </w:p>
    <w:p w14:paraId="0A3054D8" w14:textId="4B09E70D" w:rsidR="004A4407" w:rsidRDefault="00EE6AEF" w:rsidP="009B4A95">
      <w:pPr>
        <w:spacing w:afterLines="120" w:after="288"/>
      </w:pPr>
      <w:r w:rsidRPr="00960A74">
        <w:t xml:space="preserve">Secondly, </w:t>
      </w:r>
      <w:r w:rsidR="009F52E7" w:rsidRPr="00960A74">
        <w:t xml:space="preserve">while it would be good practice, </w:t>
      </w:r>
      <w:r w:rsidRPr="00960A74">
        <w:t xml:space="preserve">there is no requirement for schools to undertake a privacy impact assessment </w:t>
      </w:r>
      <w:r w:rsidR="00A14F1C">
        <w:t xml:space="preserve">(PIA) </w:t>
      </w:r>
      <w:r w:rsidRPr="00960A74">
        <w:t>when implementing new EdTech products, so schools may not be aware of and mitigate the privacy risks. The submission explained that schools will “need extra support to ensure [PIAs] are carried out, with specialised training and resources being made available.”</w:t>
      </w:r>
    </w:p>
    <w:p w14:paraId="72C38B8E" w14:textId="77777777" w:rsidR="00841756" w:rsidRPr="00960A74" w:rsidRDefault="00841756" w:rsidP="00FB0C93">
      <w:pPr>
        <w:spacing w:after="0"/>
        <w:rPr>
          <w:rFonts w:cs="Arial"/>
          <w:szCs w:val="24"/>
        </w:rPr>
      </w:pPr>
    </w:p>
    <w:p w14:paraId="40552B26" w14:textId="69F27611" w:rsidR="00EE6AEF" w:rsidRPr="00477256" w:rsidRDefault="00EE6AEF" w:rsidP="00477256">
      <w:pPr>
        <w:pStyle w:val="Style1"/>
      </w:pPr>
      <w:r w:rsidRPr="00477256">
        <w:t xml:space="preserve">What can </w:t>
      </w:r>
      <w:r w:rsidR="00855B0A" w:rsidRPr="00477256">
        <w:t>we</w:t>
      </w:r>
      <w:r w:rsidRPr="00477256">
        <w:t xml:space="preserve"> learn from this?</w:t>
      </w:r>
    </w:p>
    <w:p w14:paraId="3BA9B8CF" w14:textId="57CFE02F" w:rsidR="00855B0A" w:rsidRPr="00960A74" w:rsidRDefault="00EA6322" w:rsidP="009B4A95">
      <w:pPr>
        <w:spacing w:afterLines="120" w:after="288"/>
        <w:rPr>
          <w:rFonts w:cs="Arial"/>
          <w:szCs w:val="24"/>
        </w:rPr>
      </w:pPr>
      <w:r w:rsidRPr="006875BB">
        <w:t xml:space="preserve">The feedback we received highlights the need for accurate information in a central resource, which is easy to understand and can apply to the </w:t>
      </w:r>
      <w:r w:rsidR="00015F9D" w:rsidRPr="006875BB">
        <w:t>real-life</w:t>
      </w:r>
      <w:r w:rsidRPr="006875BB">
        <w:t xml:space="preserve"> scenarios that</w:t>
      </w:r>
      <w:r w:rsidRPr="00960A74">
        <w:rPr>
          <w:rFonts w:cs="Arial"/>
          <w:szCs w:val="24"/>
        </w:rPr>
        <w:t xml:space="preserve"> </w:t>
      </w:r>
      <w:r w:rsidRPr="006875BB">
        <w:t>people deal with. We heard about specific circumstances that professionals find challenging (for example, what to share with parents if their child goes by different pronouns at school</w:t>
      </w:r>
      <w:r w:rsidR="00FF7D8B" w:rsidRPr="006875BB">
        <w:t>) and</w:t>
      </w:r>
      <w:r w:rsidR="00015F9D" w:rsidRPr="006875BB">
        <w:t xml:space="preserve"> learned more about the needs of the people </w:t>
      </w:r>
      <w:r w:rsidR="001A1865" w:rsidRPr="006875BB">
        <w:t>that any guidance and supporting material in this area is developed for</w:t>
      </w:r>
      <w:r w:rsidR="00015F9D" w:rsidRPr="006875BB">
        <w:t>.</w:t>
      </w:r>
      <w:r w:rsidRPr="006875BB">
        <w:t xml:space="preserve"> </w:t>
      </w:r>
      <w:r w:rsidR="00015F9D" w:rsidRPr="006875BB">
        <w:t xml:space="preserve">We have heard this message clearly, and will </w:t>
      </w:r>
      <w:r w:rsidR="00071C78" w:rsidRPr="006875BB">
        <w:t>consider work on</w:t>
      </w:r>
      <w:r w:rsidR="00015F9D" w:rsidRPr="006875BB">
        <w:t xml:space="preserve"> more resources</w:t>
      </w:r>
      <w:r w:rsidR="009F52E7" w:rsidRPr="006875BB">
        <w:t>, in partnership with other agencies,</w:t>
      </w:r>
      <w:r w:rsidR="00015F9D" w:rsidRPr="006875BB">
        <w:t xml:space="preserve"> </w:t>
      </w:r>
      <w:r w:rsidR="00071C78" w:rsidRPr="006875BB">
        <w:t>to address these needs</w:t>
      </w:r>
      <w:r w:rsidR="00332A0F" w:rsidRPr="006875BB">
        <w:t>.</w:t>
      </w:r>
    </w:p>
    <w:p w14:paraId="00A6AA0B" w14:textId="77777777" w:rsidR="009D2BC2" w:rsidRDefault="009D2BC2" w:rsidP="00FB0C93">
      <w:pPr>
        <w:spacing w:after="0"/>
        <w:rPr>
          <w:rFonts w:cs="Arial"/>
          <w:b/>
          <w:bCs/>
          <w:szCs w:val="24"/>
        </w:rPr>
      </w:pPr>
    </w:p>
    <w:p w14:paraId="2DFC3490" w14:textId="77777777" w:rsidR="009D2BC2" w:rsidRDefault="009D2BC2" w:rsidP="00477256">
      <w:pPr>
        <w:pStyle w:val="Style1"/>
      </w:pPr>
      <w:r w:rsidRPr="00C00461">
        <w:rPr>
          <w:noProof/>
          <w:color w:val="6B8941"/>
        </w:rPr>
        <w:lastRenderedPageBreak/>
        <w:drawing>
          <wp:anchor distT="0" distB="0" distL="114300" distR="114300" simplePos="0" relativeHeight="251668480" behindDoc="0" locked="0" layoutInCell="1" allowOverlap="1" wp14:anchorId="0327B91B" wp14:editId="25F4EAB2">
            <wp:simplePos x="0" y="0"/>
            <wp:positionH relativeFrom="margin">
              <wp:posOffset>4346408</wp:posOffset>
            </wp:positionH>
            <wp:positionV relativeFrom="paragraph">
              <wp:posOffset>7620</wp:posOffset>
            </wp:positionV>
            <wp:extent cx="1586230" cy="1310005"/>
            <wp:effectExtent l="0" t="0" r="0" b="4445"/>
            <wp:wrapThrough wrapText="bothSides">
              <wp:wrapPolygon edited="0">
                <wp:start x="0" y="0"/>
                <wp:lineTo x="0" y="21359"/>
                <wp:lineTo x="21271" y="21359"/>
                <wp:lineTo x="21271" y="0"/>
                <wp:lineTo x="0" y="0"/>
              </wp:wrapPolygon>
            </wp:wrapThrough>
            <wp:docPr id="1931316889" name="Picture 1" descr="A hand holding a small fi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16889" name="Picture 1" descr="A hand holding a small finger&#10;&#10;Description automatically generated"/>
                    <pic:cNvPicPr/>
                  </pic:nvPicPr>
                  <pic:blipFill rotWithShape="1">
                    <a:blip r:embed="rId19">
                      <a:extLst>
                        <a:ext uri="{28A0092B-C50C-407E-A947-70E740481C1C}">
                          <a14:useLocalDpi xmlns:a14="http://schemas.microsoft.com/office/drawing/2010/main" val="0"/>
                        </a:ext>
                      </a:extLst>
                    </a:blip>
                    <a:srcRect l="7073"/>
                    <a:stretch/>
                  </pic:blipFill>
                  <pic:spPr bwMode="auto">
                    <a:xfrm>
                      <a:off x="0" y="0"/>
                      <a:ext cx="1586230" cy="1310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0461">
        <w:t>Theme two</w:t>
      </w:r>
    </w:p>
    <w:p w14:paraId="3F794AE2" w14:textId="77777777" w:rsidR="009D2BC2" w:rsidRPr="0037285F" w:rsidRDefault="009D2BC2" w:rsidP="009D2BC2">
      <w:pPr>
        <w:spacing w:after="0" w:line="240" w:lineRule="auto"/>
        <w:rPr>
          <w:rFonts w:cs="Arial"/>
          <w:sz w:val="16"/>
          <w:szCs w:val="16"/>
          <w:u w:val="single"/>
        </w:rPr>
      </w:pPr>
    </w:p>
    <w:p w14:paraId="2B3AA063" w14:textId="77777777" w:rsidR="009D2BC2" w:rsidRPr="00C00461" w:rsidRDefault="009D2BC2" w:rsidP="00477256">
      <w:pPr>
        <w:pStyle w:val="Subheading"/>
        <w:rPr>
          <w:u w:val="single"/>
        </w:rPr>
      </w:pPr>
      <w:r w:rsidRPr="00C00461">
        <w:t xml:space="preserve">Regulatory changes are required to improve the protection of tamariki/ children’s privacy in </w:t>
      </w:r>
      <w:r>
        <w:br/>
      </w:r>
      <w:r w:rsidRPr="00C00461">
        <w:t>New Zealand.</w:t>
      </w:r>
    </w:p>
    <w:p w14:paraId="5239067D" w14:textId="30B14F99" w:rsidR="00FF7D8B" w:rsidRDefault="0063776E" w:rsidP="009B4A95">
      <w:pPr>
        <w:spacing w:afterLines="120" w:after="288"/>
      </w:pPr>
      <w:r w:rsidRPr="00960A74">
        <w:t xml:space="preserve">A key theme that featured in the submissions was the desire for changes to the privacy rules, </w:t>
      </w:r>
      <w:r w:rsidR="00FF7D8B" w:rsidRPr="00960A74">
        <w:t>to</w:t>
      </w:r>
      <w:r w:rsidRPr="00960A74">
        <w:t xml:space="preserve"> enhance privacy protections for </w:t>
      </w:r>
      <w:r w:rsidR="002D31CE" w:rsidRPr="00960A74">
        <w:t>tamariki/</w:t>
      </w:r>
      <w:r w:rsidRPr="00960A74">
        <w:t>children. The suggestions ranged from small to significant, from specific to general, but from these suggestions we formed a list of key changes that submitters would like to see.</w:t>
      </w:r>
      <w:r w:rsidR="00701D42" w:rsidRPr="00960A74">
        <w:t xml:space="preserve"> </w:t>
      </w:r>
    </w:p>
    <w:p w14:paraId="59B56766" w14:textId="07AC7F4F" w:rsidR="00FF7D8B" w:rsidRDefault="00701D42" w:rsidP="009B4A95">
      <w:pPr>
        <w:spacing w:afterLines="120" w:after="288"/>
      </w:pPr>
      <w:r w:rsidRPr="00960A74">
        <w:t xml:space="preserve">We note there are multiple ways these changes could be made, </w:t>
      </w:r>
      <w:r w:rsidR="009F52E7" w:rsidRPr="00960A74">
        <w:t>one of which could be amending the Privacy Act 2020 (or other relevant legislation</w:t>
      </w:r>
      <w:r w:rsidR="009D2BC2" w:rsidRPr="00960A74">
        <w:t>),</w:t>
      </w:r>
      <w:r w:rsidR="009F52E7" w:rsidRPr="00960A74">
        <w:t xml:space="preserve"> or a code of practice could be considered to respond to </w:t>
      </w:r>
      <w:proofErr w:type="gramStart"/>
      <w:r w:rsidR="009F52E7" w:rsidRPr="00960A74">
        <w:t>particular issues</w:t>
      </w:r>
      <w:proofErr w:type="gramEnd"/>
      <w:r w:rsidR="009F52E7" w:rsidRPr="00960A74">
        <w:t xml:space="preserve"> (which was identified by </w:t>
      </w:r>
      <w:r w:rsidR="006875BB" w:rsidRPr="00960A74">
        <w:t>submitters and</w:t>
      </w:r>
      <w:r w:rsidR="009F52E7" w:rsidRPr="00960A74">
        <w:t xml:space="preserve"> discussed below)</w:t>
      </w:r>
      <w:r w:rsidRPr="00960A74">
        <w:t xml:space="preserve">. </w:t>
      </w:r>
    </w:p>
    <w:p w14:paraId="35094C99" w14:textId="543501BB" w:rsidR="0063776E" w:rsidRDefault="00701D42" w:rsidP="009B4A95">
      <w:pPr>
        <w:spacing w:afterLines="120" w:after="288"/>
      </w:pPr>
      <w:r w:rsidRPr="00960A74">
        <w:t>We will need to do further work to</w:t>
      </w:r>
      <w:r w:rsidR="00EB23C8" w:rsidRPr="00960A74">
        <w:t xml:space="preserve"> assess the suggested changes and consider the best way to progress</w:t>
      </w:r>
      <w:r w:rsidR="001A1865">
        <w:t xml:space="preserve"> or advocate for</w:t>
      </w:r>
      <w:r w:rsidR="00EB23C8" w:rsidRPr="00960A74">
        <w:t xml:space="preserve"> those changes that OPC believes are worth pursuing.</w:t>
      </w:r>
    </w:p>
    <w:p w14:paraId="63C46E04" w14:textId="77777777" w:rsidR="00CF28E6" w:rsidRDefault="00CF28E6" w:rsidP="00477256"/>
    <w:p w14:paraId="11EC58F2" w14:textId="5F9CDD74" w:rsidR="001476A4" w:rsidRPr="009D2BC2" w:rsidRDefault="001476A4" w:rsidP="00477256">
      <w:pPr>
        <w:pStyle w:val="Style1"/>
      </w:pPr>
      <w:r w:rsidRPr="009D2BC2">
        <w:t>Capacity of the child</w:t>
      </w:r>
    </w:p>
    <w:p w14:paraId="2AC2F634" w14:textId="4FA01BE1" w:rsidR="0047363C" w:rsidRDefault="001476A4" w:rsidP="009B4A95">
      <w:pPr>
        <w:spacing w:afterLines="120" w:after="288"/>
      </w:pPr>
      <w:r w:rsidRPr="00960A74">
        <w:t xml:space="preserve">Respondents suggested they wanted </w:t>
      </w:r>
      <w:r w:rsidR="001D3826" w:rsidRPr="00960A74">
        <w:t>some direction to organisations on how to factor in the age or capacity of the child. Respondents expressed that there should not be any concrete rules around age, as every child is different, but there should be some consideration of the child’s capacity to consent to the collection, use, or disclosure of their information.</w:t>
      </w:r>
      <w:r w:rsidR="00B432B8" w:rsidRPr="00960A74">
        <w:t xml:space="preserve"> </w:t>
      </w:r>
    </w:p>
    <w:p w14:paraId="0B6415E9" w14:textId="77753D56" w:rsidR="0079705F" w:rsidRDefault="00B432B8" w:rsidP="009B4A95">
      <w:pPr>
        <w:spacing w:afterLines="120" w:after="288"/>
      </w:pPr>
      <w:r w:rsidRPr="00960A74">
        <w:t xml:space="preserve">There are </w:t>
      </w:r>
      <w:r w:rsidR="009D2BC2" w:rsidRPr="00960A74">
        <w:t>several</w:t>
      </w:r>
      <w:r w:rsidRPr="00960A74">
        <w:t xml:space="preserve"> different rules and laws which apply regarding age of consent in different contexts, so one submitter </w:t>
      </w:r>
      <w:r w:rsidR="009F52E7" w:rsidRPr="00960A74">
        <w:t>suggested</w:t>
      </w:r>
      <w:r w:rsidRPr="00960A74">
        <w:t xml:space="preserve"> that a code which addresses this should complement these different requirements, instead of muddying the waters for professionals.</w:t>
      </w:r>
    </w:p>
    <w:p w14:paraId="7ACE9336" w14:textId="77777777" w:rsidR="009D2BC2" w:rsidRDefault="009D2BC2" w:rsidP="009D2BC2">
      <w:pPr>
        <w:spacing w:after="0"/>
        <w:rPr>
          <w:rFonts w:cs="Arial"/>
          <w:szCs w:val="24"/>
        </w:rPr>
      </w:pPr>
    </w:p>
    <w:p w14:paraId="4CE9770C" w14:textId="727E87FB" w:rsidR="009D2BC2" w:rsidRDefault="00B432B8" w:rsidP="009D2BC2">
      <w:pPr>
        <w:spacing w:after="0"/>
        <w:jc w:val="center"/>
        <w:rPr>
          <w:rFonts w:cs="Arial"/>
          <w:b/>
          <w:bCs/>
          <w:color w:val="6B8941"/>
          <w:szCs w:val="24"/>
        </w:rPr>
      </w:pPr>
      <w:r w:rsidRPr="009D2BC2">
        <w:rPr>
          <w:rFonts w:cs="Arial"/>
          <w:b/>
          <w:bCs/>
          <w:color w:val="6B8941"/>
          <w:szCs w:val="24"/>
        </w:rPr>
        <w:lastRenderedPageBreak/>
        <w:t xml:space="preserve">“Can’t put a chronological age on it, </w:t>
      </w:r>
      <w:r w:rsidR="009D2BC2" w:rsidRPr="009D2BC2">
        <w:rPr>
          <w:rFonts w:cs="Arial"/>
          <w:b/>
          <w:bCs/>
          <w:color w:val="6B8941"/>
          <w:szCs w:val="24"/>
        </w:rPr>
        <w:t>it’s</w:t>
      </w:r>
      <w:r w:rsidRPr="009D2BC2">
        <w:rPr>
          <w:rFonts w:cs="Arial"/>
          <w:b/>
          <w:bCs/>
          <w:color w:val="6B8941"/>
          <w:szCs w:val="24"/>
        </w:rPr>
        <w:t xml:space="preserve"> all about emotional maturity and understanding and is a sliding scale depending on gravity of [the] information.”</w:t>
      </w:r>
    </w:p>
    <w:p w14:paraId="7B338A56" w14:textId="77777777" w:rsidR="009D2BC2" w:rsidRDefault="009D2BC2" w:rsidP="009D2BC2">
      <w:pPr>
        <w:spacing w:after="0"/>
        <w:jc w:val="center"/>
        <w:rPr>
          <w:rFonts w:cs="Arial"/>
          <w:b/>
          <w:bCs/>
          <w:color w:val="6B8941"/>
          <w:szCs w:val="24"/>
        </w:rPr>
      </w:pPr>
      <w:r>
        <w:rPr>
          <w:rFonts w:cs="Arial"/>
          <w:sz w:val="16"/>
          <w:szCs w:val="16"/>
        </w:rPr>
        <w:t>Survey respondent.</w:t>
      </w:r>
    </w:p>
    <w:p w14:paraId="0184A479" w14:textId="77777777" w:rsidR="00CF28E6" w:rsidRDefault="00CF28E6" w:rsidP="00477256">
      <w:pPr>
        <w:pStyle w:val="Subheading"/>
      </w:pPr>
    </w:p>
    <w:p w14:paraId="58FF5FB7" w14:textId="5807DB4D" w:rsidR="00CF28E6" w:rsidRPr="00477256" w:rsidRDefault="00F84B8B" w:rsidP="00477256">
      <w:pPr>
        <w:pStyle w:val="Subheading"/>
      </w:pPr>
      <w:r w:rsidRPr="00477256">
        <w:t>Requirement to consider the best interests of the child</w:t>
      </w:r>
    </w:p>
    <w:p w14:paraId="0E970EB8" w14:textId="3D7BD4C9" w:rsidR="00942353" w:rsidRDefault="00710F7D" w:rsidP="009B4A95">
      <w:pPr>
        <w:spacing w:afterLines="120" w:after="288"/>
      </w:pPr>
      <w:r w:rsidRPr="00960A74">
        <w:t xml:space="preserve">The United Nations Convention on the Rights of the Child (UNCRC) is an international pact which is dedicated to </w:t>
      </w:r>
      <w:r w:rsidR="00E757D7" w:rsidRPr="00960A74">
        <w:t>children’s</w:t>
      </w:r>
      <w:r w:rsidRPr="00960A74">
        <w:t xml:space="preserve"> rights. One of the key principles of UNCRC is the ‘best interests of the child</w:t>
      </w:r>
      <w:r w:rsidR="00A14F1C">
        <w:t>’</w:t>
      </w:r>
      <w:r w:rsidRPr="00960A74">
        <w:t xml:space="preserve"> concept. This </w:t>
      </w:r>
      <w:r w:rsidR="009F52E7" w:rsidRPr="00960A74">
        <w:t xml:space="preserve">concept </w:t>
      </w:r>
      <w:r w:rsidRPr="00960A74">
        <w:t xml:space="preserve">prompts decision makers to think about what will benefit the </w:t>
      </w:r>
      <w:r w:rsidR="00ED48A2" w:rsidRPr="00960A74">
        <w:t xml:space="preserve">child the most, and </w:t>
      </w:r>
      <w:r w:rsidR="0047363C" w:rsidRPr="00960A74">
        <w:t>to</w:t>
      </w:r>
      <w:r w:rsidR="00ED48A2" w:rsidRPr="00960A74">
        <w:t xml:space="preserve"> consider the child’s wellbeing, happiness, health, and any other things which impact the child’s life.</w:t>
      </w:r>
    </w:p>
    <w:p w14:paraId="36AFD8F2" w14:textId="77777777" w:rsidR="0047363C" w:rsidRDefault="00654B42" w:rsidP="009B4A95">
      <w:pPr>
        <w:spacing w:afterLines="120" w:after="288"/>
      </w:pPr>
      <w:r w:rsidRPr="00960A74">
        <w:t>While we did not specifically ask about the best interests of the child, t</w:t>
      </w:r>
      <w:r w:rsidR="00ED48A2" w:rsidRPr="00960A74">
        <w:t xml:space="preserve">he submissions we received showed that submitters </w:t>
      </w:r>
      <w:r w:rsidRPr="00960A74">
        <w:t>understood</w:t>
      </w:r>
      <w:r w:rsidR="00ED48A2" w:rsidRPr="00960A74">
        <w:t xml:space="preserve"> the concept and felt that this would be an important way to help protect </w:t>
      </w:r>
      <w:r w:rsidR="002D31CE" w:rsidRPr="00960A74">
        <w:t>tamariki/</w:t>
      </w:r>
      <w:r w:rsidR="00ED48A2" w:rsidRPr="00960A74">
        <w:t xml:space="preserve">children’s privacy. </w:t>
      </w:r>
    </w:p>
    <w:p w14:paraId="1259F3FE" w14:textId="6F49E260" w:rsidR="00ED48A2" w:rsidRDefault="00435FFB" w:rsidP="009B4A95">
      <w:pPr>
        <w:spacing w:afterLines="120" w:after="288"/>
      </w:pPr>
      <w:r w:rsidRPr="00960A74">
        <w:t xml:space="preserve">When asked whether parents should be able to request their child’s personal information, 66% </w:t>
      </w:r>
      <w:r w:rsidR="00B1375D" w:rsidRPr="00960A74">
        <w:t xml:space="preserve">of survey respondents </w:t>
      </w:r>
      <w:r w:rsidRPr="00960A74">
        <w:t xml:space="preserve">said that they should, but when asked to explain their answer, many responses </w:t>
      </w:r>
      <w:r w:rsidR="00B1375D" w:rsidRPr="00960A74">
        <w:t xml:space="preserve">explained there should be some nuance and decisions should be made based on what is in the child’s best interests. </w:t>
      </w:r>
    </w:p>
    <w:p w14:paraId="140A2C91" w14:textId="6B6AA60B" w:rsidR="0047363C" w:rsidRDefault="00B1375D" w:rsidP="00B32C5F">
      <w:pPr>
        <w:spacing w:afterLines="120" w:after="288"/>
      </w:pPr>
      <w:r w:rsidRPr="00960A74">
        <w:t xml:space="preserve">Some submissions recommended a specific obligation to consider the best interests of the child should be required when collecting, </w:t>
      </w:r>
      <w:r w:rsidR="009D2BC2" w:rsidRPr="00960A74">
        <w:t>using,</w:t>
      </w:r>
      <w:r w:rsidRPr="00960A74">
        <w:t xml:space="preserve"> and sharing </w:t>
      </w:r>
      <w:r w:rsidR="002D31CE" w:rsidRPr="00960A74">
        <w:t>tamariki/</w:t>
      </w:r>
      <w:r w:rsidRPr="00960A74">
        <w:t xml:space="preserve">children’s personal information. This would place the child’s wellbeing as the central consideration and </w:t>
      </w:r>
      <w:r w:rsidR="00AA7314" w:rsidRPr="00960A74">
        <w:t xml:space="preserve">can neutralise decision making when dealing with complicated situations, which is the daily reality for professionals who work with </w:t>
      </w:r>
      <w:r w:rsidR="002D31CE" w:rsidRPr="00960A74">
        <w:t>tamariki/</w:t>
      </w:r>
      <w:r w:rsidR="00AA7314" w:rsidRPr="00960A74">
        <w:t xml:space="preserve">children. </w:t>
      </w:r>
    </w:p>
    <w:p w14:paraId="02A46B73" w14:textId="1D36B070" w:rsidR="009D2BC2" w:rsidRDefault="00AA7314" w:rsidP="00B32C5F">
      <w:pPr>
        <w:spacing w:afterLines="120" w:after="288"/>
        <w:rPr>
          <w:rFonts w:cs="Arial"/>
          <w:szCs w:val="24"/>
        </w:rPr>
      </w:pPr>
      <w:r w:rsidRPr="00960A74">
        <w:t xml:space="preserve">Submitters explained that </w:t>
      </w:r>
      <w:r w:rsidR="002D31CE" w:rsidRPr="00960A74">
        <w:t>tamariki/</w:t>
      </w:r>
      <w:r w:rsidRPr="00960A74">
        <w:t>children are vulnerable to numerous harms, including privacy harms, and so a requirement to consider their best interests will help to manage this.</w:t>
      </w:r>
    </w:p>
    <w:p w14:paraId="300356BF" w14:textId="468493C6" w:rsidR="009B4A95" w:rsidRDefault="009B4A95">
      <w:pPr>
        <w:spacing w:after="160" w:line="259" w:lineRule="auto"/>
        <w:rPr>
          <w:rFonts w:cs="Arial"/>
          <w:b/>
          <w:bCs/>
          <w:color w:val="6B8941"/>
          <w:szCs w:val="24"/>
        </w:rPr>
      </w:pPr>
      <w:r>
        <w:rPr>
          <w:rFonts w:cs="Arial"/>
          <w:b/>
          <w:bCs/>
          <w:color w:val="6B8941"/>
          <w:szCs w:val="24"/>
        </w:rPr>
        <w:br w:type="page"/>
      </w:r>
    </w:p>
    <w:p w14:paraId="0FEF3A64" w14:textId="0B23BAAD" w:rsidR="009D2BC2" w:rsidRPr="009D2BC2" w:rsidRDefault="00AA7314" w:rsidP="009D2BC2">
      <w:pPr>
        <w:spacing w:after="0"/>
        <w:jc w:val="center"/>
        <w:rPr>
          <w:rFonts w:cs="Arial"/>
          <w:b/>
          <w:bCs/>
          <w:color w:val="6B8941"/>
          <w:szCs w:val="24"/>
        </w:rPr>
      </w:pPr>
      <w:r w:rsidRPr="009D2BC2">
        <w:rPr>
          <w:rFonts w:cs="Arial"/>
          <w:b/>
          <w:bCs/>
          <w:color w:val="6B8941"/>
          <w:szCs w:val="24"/>
        </w:rPr>
        <w:lastRenderedPageBreak/>
        <w:t>“A test of this nature would also deal with situations where a child or young person wanted access to information that could be harmful. Family law recognises that the wishes of children and young people are not always aligned with their best interests.”</w:t>
      </w:r>
    </w:p>
    <w:p w14:paraId="1A124263" w14:textId="1FE3E2E4" w:rsidR="009D2BC2" w:rsidRDefault="009D2BC2" w:rsidP="009D2BC2">
      <w:pPr>
        <w:spacing w:after="0"/>
        <w:jc w:val="center"/>
        <w:rPr>
          <w:rFonts w:cs="Arial"/>
          <w:b/>
          <w:bCs/>
          <w:color w:val="6B8941"/>
          <w:szCs w:val="24"/>
        </w:rPr>
      </w:pPr>
      <w:r>
        <w:rPr>
          <w:rFonts w:cs="Arial"/>
          <w:sz w:val="16"/>
          <w:szCs w:val="16"/>
        </w:rPr>
        <w:t>Written submission.</w:t>
      </w:r>
    </w:p>
    <w:p w14:paraId="4B8EB05D" w14:textId="77777777" w:rsidR="00942353" w:rsidRDefault="00942353" w:rsidP="006875BB">
      <w:pPr>
        <w:pStyle w:val="Subheading"/>
      </w:pPr>
    </w:p>
    <w:p w14:paraId="51BFE04C" w14:textId="5E53AFDE" w:rsidR="00AA7314" w:rsidRPr="009D2BC2" w:rsidRDefault="00AA7314" w:rsidP="006875BB">
      <w:pPr>
        <w:pStyle w:val="Subheading"/>
      </w:pPr>
      <w:r w:rsidRPr="009D2BC2">
        <w:t>Create a right to be forgotten</w:t>
      </w:r>
    </w:p>
    <w:p w14:paraId="6DC7C537" w14:textId="37351981" w:rsidR="009D2BC2" w:rsidRPr="00960A74" w:rsidRDefault="00882821" w:rsidP="009B4A95">
      <w:pPr>
        <w:spacing w:afterLines="120" w:after="288"/>
      </w:pPr>
      <w:r w:rsidRPr="00960A74">
        <w:t>The right to be forgotten</w:t>
      </w:r>
      <w:r w:rsidRPr="00960A74">
        <w:rPr>
          <w:rStyle w:val="FootnoteReference"/>
          <w:rFonts w:cs="Arial"/>
          <w:szCs w:val="24"/>
        </w:rPr>
        <w:footnoteReference w:id="3"/>
      </w:r>
      <w:r w:rsidRPr="00960A74">
        <w:t xml:space="preserve"> is the right to have personal information removed or deleted, which can include being deleted from an organisation’s records or being removed from internet search engine</w:t>
      </w:r>
      <w:r w:rsidR="00D70D7A" w:rsidRPr="00960A74">
        <w:t xml:space="preserve"> results</w:t>
      </w:r>
      <w:r w:rsidRPr="00960A74">
        <w:t>. We do not have a right to be forgotten in New Zealand privacy law</w:t>
      </w:r>
      <w:r w:rsidR="00D70D7A" w:rsidRPr="00960A74">
        <w:t>, although individuals can ask for their information to be deleted if it is incorrect</w:t>
      </w:r>
      <w:r w:rsidR="007905FC" w:rsidRPr="00960A74">
        <w:t xml:space="preserve"> </w:t>
      </w:r>
      <w:r w:rsidR="00441CCE" w:rsidRPr="00960A74">
        <w:t>and agencies cannot retain information for longer than they need it</w:t>
      </w:r>
      <w:r w:rsidRPr="00960A74">
        <w:t>.</w:t>
      </w:r>
    </w:p>
    <w:p w14:paraId="22C7DF8A" w14:textId="1D7BBBCD" w:rsidR="00882821" w:rsidRDefault="00882821" w:rsidP="00B32C5F">
      <w:pPr>
        <w:spacing w:afterLines="120" w:after="288"/>
      </w:pPr>
      <w:r w:rsidRPr="00960A74">
        <w:t xml:space="preserve">We did not ask respondents about </w:t>
      </w:r>
      <w:r w:rsidR="00441CCE" w:rsidRPr="00960A74">
        <w:t xml:space="preserve">a </w:t>
      </w:r>
      <w:r w:rsidR="00ED5FA7" w:rsidRPr="00960A74">
        <w:t>general</w:t>
      </w:r>
      <w:r w:rsidR="00441CCE" w:rsidRPr="00960A74">
        <w:t xml:space="preserve"> </w:t>
      </w:r>
      <w:r w:rsidRPr="00960A74">
        <w:t xml:space="preserve">right to be forgotten, but many still argued in favour of this right being created. Submissions noted that many </w:t>
      </w:r>
      <w:r w:rsidR="002D31CE" w:rsidRPr="00960A74">
        <w:t>tamariki/</w:t>
      </w:r>
      <w:r w:rsidRPr="00960A74">
        <w:t xml:space="preserve">children use social media, which presents many risks, including that social media companies collect a lot of information about </w:t>
      </w:r>
      <w:r w:rsidR="002D31CE" w:rsidRPr="00960A74">
        <w:t>tamariki/</w:t>
      </w:r>
      <w:r w:rsidRPr="00960A74">
        <w:t xml:space="preserve">children, and that </w:t>
      </w:r>
      <w:r w:rsidR="002D31CE" w:rsidRPr="00960A74">
        <w:t>tamariki/</w:t>
      </w:r>
      <w:r w:rsidRPr="00960A74">
        <w:t>children do not always use social media responsibly</w:t>
      </w:r>
      <w:r w:rsidR="003C6F71">
        <w:t>,</w:t>
      </w:r>
      <w:r w:rsidRPr="00960A74">
        <w:t xml:space="preserve"> which can have privacy implications. </w:t>
      </w:r>
      <w:r w:rsidR="00695939" w:rsidRPr="00960A74">
        <w:t>69% of survey respondents said that they wanted the right for children to ask for their information to be deleted from social media.</w:t>
      </w:r>
    </w:p>
    <w:p w14:paraId="633D1149" w14:textId="77777777" w:rsidR="009D2BC2" w:rsidRDefault="009D2BC2" w:rsidP="009D2BC2">
      <w:pPr>
        <w:spacing w:after="0"/>
        <w:rPr>
          <w:rFonts w:cs="Arial"/>
          <w:szCs w:val="24"/>
        </w:rPr>
      </w:pPr>
    </w:p>
    <w:p w14:paraId="0BD116E4" w14:textId="2EE077DF" w:rsidR="009D2BC2" w:rsidRPr="009D2BC2" w:rsidRDefault="00695939" w:rsidP="009D2BC2">
      <w:pPr>
        <w:spacing w:after="0"/>
        <w:jc w:val="center"/>
        <w:rPr>
          <w:rFonts w:cs="Arial"/>
          <w:b/>
          <w:bCs/>
          <w:color w:val="6B8941"/>
          <w:szCs w:val="24"/>
        </w:rPr>
      </w:pPr>
      <w:r w:rsidRPr="009D2BC2">
        <w:rPr>
          <w:rFonts w:cs="Arial"/>
          <w:b/>
          <w:bCs/>
          <w:color w:val="6B8941"/>
          <w:szCs w:val="24"/>
        </w:rPr>
        <w:t xml:space="preserve">“Young people don’t have the capacity to make fully informed decisions about their digital </w:t>
      </w:r>
      <w:r w:rsidR="009D2BC2" w:rsidRPr="009D2BC2">
        <w:rPr>
          <w:rFonts w:cs="Arial"/>
          <w:b/>
          <w:bCs/>
          <w:color w:val="6B8941"/>
          <w:szCs w:val="24"/>
        </w:rPr>
        <w:t>footprint</w:t>
      </w:r>
      <w:r w:rsidRPr="009D2BC2">
        <w:rPr>
          <w:rFonts w:cs="Arial"/>
          <w:b/>
          <w:bCs/>
          <w:color w:val="6B8941"/>
          <w:szCs w:val="24"/>
        </w:rPr>
        <w:t xml:space="preserve"> and the </w:t>
      </w:r>
      <w:r w:rsidR="009D2BC2" w:rsidRPr="009D2BC2">
        <w:rPr>
          <w:rFonts w:cs="Arial"/>
          <w:b/>
          <w:bCs/>
          <w:color w:val="6B8941"/>
          <w:szCs w:val="24"/>
        </w:rPr>
        <w:t>long-lasting</w:t>
      </w:r>
      <w:r w:rsidRPr="009D2BC2">
        <w:rPr>
          <w:rFonts w:cs="Arial"/>
          <w:b/>
          <w:bCs/>
          <w:color w:val="6B8941"/>
          <w:szCs w:val="24"/>
        </w:rPr>
        <w:t xml:space="preserve"> implications of having a</w:t>
      </w:r>
      <w:r w:rsidR="003C6F71">
        <w:rPr>
          <w:rFonts w:cs="Arial"/>
          <w:b/>
          <w:bCs/>
          <w:color w:val="6B8941"/>
          <w:szCs w:val="24"/>
        </w:rPr>
        <w:t>n</w:t>
      </w:r>
      <w:r w:rsidRPr="009D2BC2">
        <w:rPr>
          <w:rFonts w:cs="Arial"/>
          <w:b/>
          <w:bCs/>
          <w:color w:val="6B8941"/>
          <w:szCs w:val="24"/>
        </w:rPr>
        <w:t xml:space="preserve"> online presence.”</w:t>
      </w:r>
    </w:p>
    <w:p w14:paraId="7EC6CF9E" w14:textId="51B0CF7E" w:rsidR="009D2BC2" w:rsidRDefault="009D2BC2" w:rsidP="009D2BC2">
      <w:pPr>
        <w:spacing w:after="0"/>
        <w:jc w:val="center"/>
        <w:rPr>
          <w:rFonts w:cs="Arial"/>
          <w:b/>
          <w:bCs/>
          <w:color w:val="6B8941"/>
          <w:szCs w:val="24"/>
        </w:rPr>
      </w:pPr>
      <w:r>
        <w:rPr>
          <w:rFonts w:cs="Arial"/>
          <w:sz w:val="16"/>
          <w:szCs w:val="16"/>
        </w:rPr>
        <w:t>Survey respondent.</w:t>
      </w:r>
    </w:p>
    <w:p w14:paraId="45204236" w14:textId="77777777" w:rsidR="009D2BC2" w:rsidRPr="00960A74" w:rsidRDefault="009D2BC2" w:rsidP="00FB0C93">
      <w:pPr>
        <w:spacing w:after="0"/>
        <w:ind w:left="720"/>
        <w:rPr>
          <w:rFonts w:cs="Arial"/>
          <w:i/>
          <w:iCs/>
          <w:szCs w:val="24"/>
        </w:rPr>
      </w:pPr>
    </w:p>
    <w:p w14:paraId="02103740" w14:textId="7E7F048A" w:rsidR="00695939" w:rsidRPr="009D2BC2" w:rsidRDefault="00695939" w:rsidP="009D2BC2">
      <w:pPr>
        <w:spacing w:after="0"/>
        <w:jc w:val="center"/>
        <w:rPr>
          <w:rFonts w:cs="Arial"/>
          <w:b/>
          <w:bCs/>
          <w:color w:val="6B8941"/>
          <w:szCs w:val="24"/>
        </w:rPr>
      </w:pPr>
      <w:r w:rsidRPr="009D2BC2">
        <w:rPr>
          <w:rFonts w:cs="Arial"/>
          <w:b/>
          <w:bCs/>
          <w:color w:val="6B8941"/>
          <w:szCs w:val="24"/>
        </w:rPr>
        <w:t xml:space="preserve">“As I look further into privacy and how it applies to children's academic </w:t>
      </w:r>
      <w:proofErr w:type="gramStart"/>
      <w:r w:rsidRPr="009D2BC2">
        <w:rPr>
          <w:rFonts w:cs="Arial"/>
          <w:b/>
          <w:bCs/>
          <w:color w:val="6B8941"/>
          <w:szCs w:val="24"/>
        </w:rPr>
        <w:t>data</w:t>
      </w:r>
      <w:proofErr w:type="gramEnd"/>
      <w:r w:rsidRPr="009D2BC2">
        <w:rPr>
          <w:rFonts w:cs="Arial"/>
          <w:b/>
          <w:bCs/>
          <w:color w:val="6B8941"/>
          <w:szCs w:val="24"/>
        </w:rPr>
        <w:t xml:space="preserve"> I am increasingly concerned that NZ law does not appear to have a 'right to be forgotten' clause.”</w:t>
      </w:r>
    </w:p>
    <w:p w14:paraId="4CE422BC" w14:textId="5CCAAE80" w:rsidR="009D2BC2" w:rsidRPr="00477256" w:rsidRDefault="009D2BC2" w:rsidP="00477256">
      <w:pPr>
        <w:spacing w:after="0"/>
        <w:jc w:val="center"/>
        <w:rPr>
          <w:rFonts w:cs="Arial"/>
          <w:b/>
          <w:bCs/>
          <w:color w:val="6B8941"/>
          <w:szCs w:val="24"/>
        </w:rPr>
      </w:pPr>
      <w:r>
        <w:rPr>
          <w:rFonts w:cs="Arial"/>
          <w:sz w:val="16"/>
          <w:szCs w:val="16"/>
        </w:rPr>
        <w:t>Survey respondent.</w:t>
      </w:r>
    </w:p>
    <w:p w14:paraId="46685FE9" w14:textId="08773610" w:rsidR="009D15E9" w:rsidRPr="00477256" w:rsidRDefault="009D15E9" w:rsidP="00477256">
      <w:pPr>
        <w:pStyle w:val="Subheading"/>
      </w:pPr>
      <w:r w:rsidRPr="00477256">
        <w:lastRenderedPageBreak/>
        <w:t>Require organisations to be more transparent</w:t>
      </w:r>
      <w:r w:rsidR="00B23187" w:rsidRPr="00477256">
        <w:t xml:space="preserve"> and to obtain consent</w:t>
      </w:r>
    </w:p>
    <w:p w14:paraId="514DAB45" w14:textId="37930D03" w:rsidR="009D2BC2" w:rsidRPr="00960A74" w:rsidRDefault="0041020F" w:rsidP="009B4A95">
      <w:pPr>
        <w:spacing w:afterLines="120" w:after="288"/>
      </w:pPr>
      <w:r w:rsidRPr="00960A74">
        <w:t xml:space="preserve">80% of survey respondents were concerned about how </w:t>
      </w:r>
      <w:r w:rsidR="002D31CE" w:rsidRPr="00960A74">
        <w:t>tamariki/</w:t>
      </w:r>
      <w:r w:rsidRPr="00960A74">
        <w:t xml:space="preserve">children’s information is used, </w:t>
      </w:r>
      <w:r w:rsidR="004549E6" w:rsidRPr="00960A74">
        <w:t xml:space="preserve">74% said organisations should not use </w:t>
      </w:r>
      <w:r w:rsidR="002D31CE" w:rsidRPr="00960A74">
        <w:t>tamariki/</w:t>
      </w:r>
      <w:r w:rsidR="004549E6" w:rsidRPr="00960A74">
        <w:t xml:space="preserve">children’s information without their clear consent, and 69% said that they wanted digital platforms to be more transparent about how they collect and use </w:t>
      </w:r>
      <w:r w:rsidR="002D31CE" w:rsidRPr="00960A74">
        <w:t>tamariki/</w:t>
      </w:r>
      <w:r w:rsidR="004549E6" w:rsidRPr="00960A74">
        <w:t xml:space="preserve">children’s data. </w:t>
      </w:r>
    </w:p>
    <w:p w14:paraId="6BD756AB" w14:textId="77777777" w:rsidR="0047363C" w:rsidRDefault="00877EC5" w:rsidP="009B4A95">
      <w:pPr>
        <w:spacing w:afterLines="120" w:after="288"/>
      </w:pPr>
      <w:r w:rsidRPr="00960A74">
        <w:t xml:space="preserve">It was clear from the submissions that how organisations communicate with people and tell them about how their information is used was front of mind for submitters. </w:t>
      </w:r>
      <w:r w:rsidR="00C505EC" w:rsidRPr="00960A74">
        <w:t>4</w:t>
      </w:r>
      <w:r w:rsidR="00A51D6B" w:rsidRPr="00960A74">
        <w:t>7</w:t>
      </w:r>
      <w:r w:rsidR="00C505EC" w:rsidRPr="00960A74">
        <w:t xml:space="preserve">% of respondents said that </w:t>
      </w:r>
      <w:r w:rsidRPr="00960A74">
        <w:t xml:space="preserve">requiring </w:t>
      </w:r>
      <w:r w:rsidR="00C505EC" w:rsidRPr="00960A74">
        <w:t>organisations to use direct, plain, and child-friendly language in their privacy statements</w:t>
      </w:r>
      <w:r w:rsidRPr="00960A74">
        <w:t xml:space="preserve"> would enhance transparency</w:t>
      </w:r>
      <w:r w:rsidR="00C505EC" w:rsidRPr="00960A74">
        <w:t xml:space="preserve">. </w:t>
      </w:r>
    </w:p>
    <w:p w14:paraId="07F0DC8D" w14:textId="256A9EBA" w:rsidR="009B4A95" w:rsidRDefault="00A51D6B" w:rsidP="009B4A95">
      <w:pPr>
        <w:spacing w:afterLines="120" w:after="288"/>
      </w:pPr>
      <w:r w:rsidRPr="00960A74">
        <w:t xml:space="preserve">Organisations are already required to tell people they are collecting information and what they plan to do with it (with some exceptions, outlined in the Privacy Act 2020), but there are no </w:t>
      </w:r>
      <w:r w:rsidR="00441CCE" w:rsidRPr="00960A74">
        <w:t xml:space="preserve">specific </w:t>
      </w:r>
      <w:r w:rsidRPr="00960A74">
        <w:t>requirements for the way organisations do this or the type of language they use.</w:t>
      </w:r>
    </w:p>
    <w:p w14:paraId="5C4B7DAA" w14:textId="69EB6E3C" w:rsidR="00A51D6B" w:rsidRPr="00477256" w:rsidRDefault="00A51D6B" w:rsidP="00477256">
      <w:pPr>
        <w:pStyle w:val="Subheading"/>
      </w:pPr>
      <w:r w:rsidRPr="00477256">
        <w:t xml:space="preserve">Restrictions on how </w:t>
      </w:r>
      <w:r w:rsidR="002D31CE" w:rsidRPr="00477256">
        <w:t>tamariki/</w:t>
      </w:r>
      <w:r w:rsidRPr="00477256">
        <w:t>children’s personal information can be used</w:t>
      </w:r>
    </w:p>
    <w:p w14:paraId="3CC62622" w14:textId="0D200E58" w:rsidR="00942353" w:rsidRPr="00960A74" w:rsidRDefault="003E5517" w:rsidP="009B4A95">
      <w:pPr>
        <w:spacing w:afterLines="120" w:after="288"/>
        <w:rPr>
          <w:rFonts w:cs="Arial"/>
          <w:szCs w:val="24"/>
        </w:rPr>
      </w:pPr>
      <w:r w:rsidRPr="006875BB">
        <w:t xml:space="preserve">When asked about what concerns them about </w:t>
      </w:r>
      <w:r w:rsidR="002D31CE" w:rsidRPr="006875BB">
        <w:t>tamariki/</w:t>
      </w:r>
      <w:r w:rsidRPr="006875BB">
        <w:t xml:space="preserve">children’s information, 80% </w:t>
      </w:r>
      <w:r w:rsidR="00553444" w:rsidRPr="006875BB">
        <w:t xml:space="preserve">of survey respondents </w:t>
      </w:r>
      <w:r w:rsidRPr="006875BB">
        <w:t xml:space="preserve">said that they were concerned about how organisations use </w:t>
      </w:r>
      <w:r w:rsidR="002D31CE" w:rsidRPr="006875BB">
        <w:t>tamariki/</w:t>
      </w:r>
      <w:r w:rsidRPr="006875BB">
        <w:t xml:space="preserve">children’s personal information after it has been collected. When asked what is important to them, 52% said that it is important that </w:t>
      </w:r>
      <w:r w:rsidR="002D31CE" w:rsidRPr="006875BB">
        <w:t>tamariki/</w:t>
      </w:r>
      <w:r w:rsidRPr="006875BB">
        <w:t>children’s information is not used for direct marketing</w:t>
      </w:r>
      <w:r w:rsidRPr="00960A74">
        <w:rPr>
          <w:rFonts w:cs="Arial"/>
          <w:szCs w:val="24"/>
        </w:rPr>
        <w:t xml:space="preserve">. </w:t>
      </w:r>
    </w:p>
    <w:p w14:paraId="63C8672F" w14:textId="179C7BC0" w:rsidR="003E5517" w:rsidRDefault="003E5517" w:rsidP="009B4A95">
      <w:pPr>
        <w:spacing w:afterLines="120" w:after="288"/>
      </w:pPr>
      <w:r w:rsidRPr="00960A74">
        <w:t xml:space="preserve">One submitter argued against </w:t>
      </w:r>
      <w:r w:rsidR="002D31CE" w:rsidRPr="00960A74">
        <w:t>tamariki/</w:t>
      </w:r>
      <w:r w:rsidRPr="00960A74">
        <w:t xml:space="preserve">children’s data being monetised or commercialised but noted that the line between using information to deliver a service and commercial uses is not always clear cut. These submissions </w:t>
      </w:r>
      <w:r w:rsidR="00553444" w:rsidRPr="00960A74">
        <w:t>tell us</w:t>
      </w:r>
      <w:r w:rsidRPr="00960A74">
        <w:t xml:space="preserve"> that there </w:t>
      </w:r>
      <w:r w:rsidR="00441CCE" w:rsidRPr="00960A74">
        <w:t xml:space="preserve">is a desire for </w:t>
      </w:r>
      <w:r w:rsidRPr="00960A74">
        <w:t>some limitations on how children’s information can be used</w:t>
      </w:r>
      <w:r w:rsidR="00553444" w:rsidRPr="00960A74">
        <w:t xml:space="preserve">, but there is </w:t>
      </w:r>
      <w:r w:rsidR="00441CCE" w:rsidRPr="00960A74">
        <w:t>still</w:t>
      </w:r>
      <w:r w:rsidR="00553444" w:rsidRPr="00960A74">
        <w:t xml:space="preserve"> work to be done on what </w:t>
      </w:r>
      <w:r w:rsidR="00441CCE" w:rsidRPr="00960A74">
        <w:t xml:space="preserve">any regulatory change </w:t>
      </w:r>
      <w:r w:rsidR="00553444" w:rsidRPr="00960A74">
        <w:t>could look like.</w:t>
      </w:r>
    </w:p>
    <w:p w14:paraId="73020DAE" w14:textId="77777777" w:rsidR="00942353" w:rsidRDefault="00942353" w:rsidP="00477256"/>
    <w:p w14:paraId="68C0DE29" w14:textId="77777777" w:rsidR="009B4A95" w:rsidRDefault="009B4A95" w:rsidP="00477256"/>
    <w:p w14:paraId="5AFEFCEA" w14:textId="3E49BE27" w:rsidR="00695939" w:rsidRPr="00477256" w:rsidRDefault="00695939" w:rsidP="00477256">
      <w:pPr>
        <w:pStyle w:val="Subheading"/>
      </w:pPr>
      <w:r w:rsidRPr="00477256">
        <w:lastRenderedPageBreak/>
        <w:t>Create minimum age requirements for using social media</w:t>
      </w:r>
    </w:p>
    <w:p w14:paraId="7814D030" w14:textId="626BE063" w:rsidR="006875BB" w:rsidRDefault="00695939" w:rsidP="009B4A95">
      <w:pPr>
        <w:spacing w:afterLines="120" w:after="288"/>
      </w:pPr>
      <w:r w:rsidRPr="00477256">
        <w:t xml:space="preserve">99% of survey respondents said that there should be a minimum age requirement for using social media. </w:t>
      </w:r>
      <w:r w:rsidR="00835835" w:rsidRPr="00477256">
        <w:t>There were some different ideas about what this minimum age</w:t>
      </w:r>
      <w:r w:rsidR="009B4A95">
        <w:t xml:space="preserve"> </w:t>
      </w:r>
      <w:r w:rsidR="00835835" w:rsidRPr="00477256">
        <w:t>should be, but most respondents (42%) thought it should be between 14-15 years old, followed by 29% who thought the minimum age should be between 16-17 years old</w:t>
      </w:r>
      <w:r w:rsidR="00942353">
        <w:t>.</w:t>
      </w:r>
    </w:p>
    <w:p w14:paraId="36B02CA3" w14:textId="60E69746" w:rsidR="00C5261C" w:rsidRPr="00477256" w:rsidRDefault="00553444" w:rsidP="00477256">
      <w:pPr>
        <w:pStyle w:val="Subheading"/>
      </w:pPr>
      <w:r w:rsidRPr="00477256">
        <w:t>Improve redress for breaches</w:t>
      </w:r>
    </w:p>
    <w:p w14:paraId="0AE91183" w14:textId="04FCAF26" w:rsidR="009B4A95" w:rsidRDefault="00553444" w:rsidP="009B4A95">
      <w:pPr>
        <w:spacing w:afterLines="120" w:after="288"/>
      </w:pPr>
      <w:r w:rsidRPr="00960A74">
        <w:t xml:space="preserve">Some submissions expressed that there needs to be higher penalties for organisations who breach a child’s privacy. One submission noted that if there is a perception there are no consequences, then organisations are less likely to comply with their Privacy Act obligations, which puts </w:t>
      </w:r>
      <w:r w:rsidR="002D31CE" w:rsidRPr="00960A74">
        <w:t>tamariki/</w:t>
      </w:r>
      <w:r w:rsidRPr="00960A74">
        <w:t xml:space="preserve">children at higher risk of privacy harm. </w:t>
      </w:r>
    </w:p>
    <w:p w14:paraId="4BD48129" w14:textId="28DD7643" w:rsidR="00DA3808" w:rsidRPr="009D2BC2" w:rsidRDefault="0041020F" w:rsidP="00942353">
      <w:pPr>
        <w:pStyle w:val="Subheading"/>
      </w:pPr>
      <w:r w:rsidRPr="009D2BC2">
        <w:t>Regulatory options suggested during consultation</w:t>
      </w:r>
    </w:p>
    <w:p w14:paraId="18CAB5F4" w14:textId="2E757C7E" w:rsidR="00EB7296" w:rsidRPr="00960A74" w:rsidRDefault="0041020F" w:rsidP="009B4A95">
      <w:pPr>
        <w:spacing w:afterLines="120" w:after="288"/>
      </w:pPr>
      <w:r w:rsidRPr="00960A74">
        <w:t xml:space="preserve">Submissions suggested two main regulatory options to address the suggested changes: amend the Privacy Act </w:t>
      </w:r>
      <w:r w:rsidR="00EB7296" w:rsidRPr="00960A74">
        <w:t>2020 and</w:t>
      </w:r>
      <w:r w:rsidRPr="00960A74">
        <w:t xml:space="preserve"> create a code of practice.</w:t>
      </w:r>
    </w:p>
    <w:p w14:paraId="47794FE5" w14:textId="392A89FC" w:rsidR="00942353" w:rsidRDefault="0041020F" w:rsidP="009B4A95">
      <w:pPr>
        <w:spacing w:afterLines="120" w:after="288"/>
      </w:pPr>
      <w:r w:rsidRPr="00960A74">
        <w:t>Some submission</w:t>
      </w:r>
      <w:r w:rsidR="00D44625" w:rsidRPr="00960A74">
        <w:t>s</w:t>
      </w:r>
      <w:r w:rsidRPr="00960A74">
        <w:t xml:space="preserve"> were specific in their suggestions, for example, one written submission suggested that we focus on age-appropriate design like the Age-Appropriate Design Code in the United Kingdom. </w:t>
      </w:r>
      <w:r w:rsidR="00D44625" w:rsidRPr="00960A74">
        <w:t xml:space="preserve">Other submissions were </w:t>
      </w:r>
      <w:proofErr w:type="gramStart"/>
      <w:r w:rsidR="00D44625" w:rsidRPr="00960A74">
        <w:t>more vague</w:t>
      </w:r>
      <w:proofErr w:type="gramEnd"/>
      <w:r w:rsidR="00D44625" w:rsidRPr="00960A74">
        <w:t xml:space="preserve"> about how to make the changes, but asked for specific requirements around consent and minimum age requirements. </w:t>
      </w:r>
    </w:p>
    <w:p w14:paraId="13914433" w14:textId="0C5E47EE" w:rsidR="002456FF" w:rsidRDefault="00E216B3" w:rsidP="009B4A95">
      <w:pPr>
        <w:spacing w:afterLines="120" w:after="288"/>
      </w:pPr>
      <w:r>
        <w:t>W</w:t>
      </w:r>
      <w:r w:rsidR="0041020F" w:rsidRPr="00960A74">
        <w:t xml:space="preserve">e are yet to do our own analysis </w:t>
      </w:r>
      <w:r w:rsidR="00441CCE" w:rsidRPr="00960A74">
        <w:t xml:space="preserve">on the points raised in submissions, the nature of any regulatory gaps or areas for clarification and education, and how any reform options could be developed and progressed. </w:t>
      </w:r>
      <w:r>
        <w:t>However, w</w:t>
      </w:r>
      <w:r w:rsidR="0041020F" w:rsidRPr="00960A74">
        <w:t xml:space="preserve">e note that the submissions indicate that people are open to discussing regulatory changes that protect </w:t>
      </w:r>
      <w:r w:rsidR="00BF62FB" w:rsidRPr="00960A74">
        <w:t>tamariki/</w:t>
      </w:r>
      <w:r w:rsidR="0041020F" w:rsidRPr="00960A74">
        <w:t>children’s privacy</w:t>
      </w:r>
      <w:r w:rsidR="006875BB">
        <w:t>.</w:t>
      </w:r>
    </w:p>
    <w:p w14:paraId="17FA3BE5" w14:textId="77777777" w:rsidR="002456FF" w:rsidRDefault="002456FF">
      <w:pPr>
        <w:spacing w:after="160" w:line="259" w:lineRule="auto"/>
      </w:pPr>
      <w:r>
        <w:br w:type="page"/>
      </w:r>
    </w:p>
    <w:p w14:paraId="517814DE" w14:textId="2972AC2B" w:rsidR="009D2BC2" w:rsidRDefault="00942353" w:rsidP="00477256">
      <w:pPr>
        <w:rPr>
          <w:rFonts w:cs="Arial"/>
          <w:szCs w:val="24"/>
        </w:rPr>
      </w:pPr>
      <w:r>
        <w:rPr>
          <w:rFonts w:cs="Arial"/>
          <w:noProof/>
          <w:szCs w:val="24"/>
        </w:rPr>
        <w:lastRenderedPageBreak/>
        <mc:AlternateContent>
          <mc:Choice Requires="wps">
            <w:drawing>
              <wp:anchor distT="0" distB="0" distL="114300" distR="114300" simplePos="0" relativeHeight="251672576" behindDoc="0" locked="0" layoutInCell="1" allowOverlap="1" wp14:anchorId="2E22B5EA" wp14:editId="50E01E35">
                <wp:simplePos x="0" y="0"/>
                <wp:positionH relativeFrom="margin">
                  <wp:align>right</wp:align>
                </wp:positionH>
                <wp:positionV relativeFrom="paragraph">
                  <wp:posOffset>8939</wp:posOffset>
                </wp:positionV>
                <wp:extent cx="5712031" cy="1769423"/>
                <wp:effectExtent l="0" t="0" r="22225" b="21590"/>
                <wp:wrapNone/>
                <wp:docPr id="664311898" name="Rectangle 5"/>
                <wp:cNvGraphicFramePr/>
                <a:graphic xmlns:a="http://schemas.openxmlformats.org/drawingml/2006/main">
                  <a:graphicData uri="http://schemas.microsoft.com/office/word/2010/wordprocessingShape">
                    <wps:wsp>
                      <wps:cNvSpPr/>
                      <wps:spPr>
                        <a:xfrm>
                          <a:off x="0" y="0"/>
                          <a:ext cx="5712031" cy="1769423"/>
                        </a:xfrm>
                        <a:prstGeom prst="rect">
                          <a:avLst/>
                        </a:prstGeom>
                        <a:solidFill>
                          <a:srgbClr val="6E9A64"/>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6FE2EE" w14:textId="77777777" w:rsidR="00942353" w:rsidRPr="00942353" w:rsidRDefault="00942353" w:rsidP="00942353">
                            <w:pPr>
                              <w:pStyle w:val="Subheading"/>
                              <w:rPr>
                                <w:color w:val="FFFFFF" w:themeColor="background1"/>
                              </w:rPr>
                            </w:pPr>
                            <w:r w:rsidRPr="00942353">
                              <w:rPr>
                                <w:color w:val="FFFFFF" w:themeColor="background1"/>
                              </w:rPr>
                              <w:t>What is a code of practice?</w:t>
                            </w:r>
                          </w:p>
                          <w:p w14:paraId="6F1D74C8" w14:textId="6261BBBF" w:rsidR="00942353" w:rsidRPr="00942353" w:rsidRDefault="00942353" w:rsidP="00942353">
                            <w:pPr>
                              <w:rPr>
                                <w:color w:val="FFFFFF" w:themeColor="background1"/>
                              </w:rPr>
                            </w:pPr>
                            <w:r w:rsidRPr="00942353">
                              <w:rPr>
                                <w:color w:val="FFFFFF" w:themeColor="background1"/>
                              </w:rPr>
                              <w:t>A code of practice is a set of rules which change how the information privacy principles apply in certain situations and in certain industries. They create privacy rules that are more suitable for the situation they address - for example, the Health Information Privacy Code sets the rules for dealing with health information by health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22B5EA" id="Rectangle 5" o:spid="_x0000_s1027" style="position:absolute;margin-left:398.55pt;margin-top:.7pt;width:449.75pt;height:139.3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" fillcolor="#6e9a64" strokecolor="#09101d [484]" strokeweight="1pt">
                <v:textbox>
                  <w:txbxContent>
                    <w:p w14:paraId="5F6FE2EE" w14:textId="77777777" w:rsidR="00942353" w:rsidRPr="00942353" w:rsidRDefault="00942353" w:rsidP="00942353">
                      <w:pPr>
                        <w:pStyle w:val="Subheading"/>
                        <w:rPr>
                          <w:color w:val="FFFFFF" w:themeColor="background1"/>
                        </w:rPr>
                      </w:pPr>
                      <w:r w:rsidRPr="00942353">
                        <w:rPr>
                          <w:color w:val="FFFFFF" w:themeColor="background1"/>
                        </w:rPr>
                        <w:t>What is a code of practice?</w:t>
                      </w:r>
                    </w:p>
                    <w:p w14:paraId="6F1D74C8" w14:textId="6261BBBF" w:rsidR="00942353" w:rsidRPr="00942353" w:rsidRDefault="00942353" w:rsidP="00942353">
                      <w:pPr>
                        <w:rPr>
                          <w:color w:val="FFFFFF" w:themeColor="background1"/>
                        </w:rPr>
                      </w:pPr>
                      <w:r w:rsidRPr="00942353">
                        <w:rPr>
                          <w:color w:val="FFFFFF" w:themeColor="background1"/>
                        </w:rPr>
                        <w:t>A code of practice is a set of rules which change how the information privacy principles apply in certain situations and in certain industries. They create privacy rules that are more suitable for the situation they address - for example, the Health Information Privacy Code sets the rules for dealing with health information by health agencies.</w:t>
                      </w:r>
                    </w:p>
                  </w:txbxContent>
                </v:textbox>
                <w10:wrap anchorx="margin"/>
              </v:rect>
            </w:pict>
          </mc:Fallback>
        </mc:AlternateContent>
      </w:r>
    </w:p>
    <w:p w14:paraId="1C918EA5" w14:textId="573B4EBC" w:rsidR="00942353" w:rsidRPr="00477256" w:rsidRDefault="00942353" w:rsidP="00477256">
      <w:pPr>
        <w:spacing w:after="160" w:line="259" w:lineRule="auto"/>
      </w:pPr>
    </w:p>
    <w:p w14:paraId="639E5AB8" w14:textId="77777777" w:rsidR="00942353" w:rsidRDefault="00942353" w:rsidP="006875BB">
      <w:pPr>
        <w:pStyle w:val="Subheading"/>
      </w:pPr>
    </w:p>
    <w:p w14:paraId="435C3AEE" w14:textId="77777777" w:rsidR="00942353" w:rsidRDefault="00942353" w:rsidP="006875BB">
      <w:pPr>
        <w:pStyle w:val="Subheading"/>
      </w:pPr>
    </w:p>
    <w:p w14:paraId="6ECE222D" w14:textId="77777777" w:rsidR="00942353" w:rsidRDefault="00942353" w:rsidP="006875BB">
      <w:pPr>
        <w:pStyle w:val="Subheading"/>
      </w:pPr>
    </w:p>
    <w:p w14:paraId="6CE7A5CB" w14:textId="77777777" w:rsidR="00942353" w:rsidRDefault="00942353" w:rsidP="006875BB">
      <w:pPr>
        <w:pStyle w:val="Subheading"/>
      </w:pPr>
    </w:p>
    <w:p w14:paraId="77BC9EF8" w14:textId="77777777" w:rsidR="00942353" w:rsidRDefault="00942353" w:rsidP="006875BB">
      <w:pPr>
        <w:pStyle w:val="Subheading"/>
      </w:pPr>
    </w:p>
    <w:p w14:paraId="0B863785" w14:textId="7692C5D6" w:rsidR="007258E6" w:rsidRPr="009D2BC2" w:rsidRDefault="007258E6" w:rsidP="002456FF">
      <w:pPr>
        <w:pStyle w:val="Style1"/>
      </w:pPr>
      <w:r w:rsidRPr="009D2BC2">
        <w:t xml:space="preserve">What can </w:t>
      </w:r>
      <w:r w:rsidR="00855B0A" w:rsidRPr="009D2BC2">
        <w:t>we</w:t>
      </w:r>
      <w:r w:rsidRPr="009D2BC2">
        <w:t xml:space="preserve"> learn from this?</w:t>
      </w:r>
    </w:p>
    <w:p w14:paraId="6FB816AD" w14:textId="51139047" w:rsidR="00942353" w:rsidRPr="00960A74" w:rsidRDefault="00015F9D" w:rsidP="002456FF">
      <w:pPr>
        <w:spacing w:afterLines="120" w:after="288"/>
      </w:pPr>
      <w:r w:rsidRPr="00960A74">
        <w:t xml:space="preserve">A dominant theme in the feedback was </w:t>
      </w:r>
      <w:r w:rsidR="00441CCE" w:rsidRPr="00960A74">
        <w:t xml:space="preserve">a call </w:t>
      </w:r>
      <w:r w:rsidRPr="00960A74">
        <w:t xml:space="preserve">for change in New Zealand privacy regulation. Respondents made it clear that there are aspects that they see in other countries (for example, the right to be forgotten, or a child-specific code of practice) that they would like to see explored here. </w:t>
      </w:r>
    </w:p>
    <w:p w14:paraId="08468DD6" w14:textId="7031C045" w:rsidR="00015F9D" w:rsidRPr="00960A74" w:rsidRDefault="00015F9D" w:rsidP="002456FF">
      <w:pPr>
        <w:spacing w:afterLines="120" w:after="288"/>
      </w:pPr>
      <w:r w:rsidRPr="00960A74">
        <w:t xml:space="preserve">There are so many developments in technology and the way that </w:t>
      </w:r>
      <w:r w:rsidR="00BF62FB" w:rsidRPr="00960A74">
        <w:t>tamariki/</w:t>
      </w:r>
      <w:r w:rsidRPr="00960A74">
        <w:t xml:space="preserve">children interact with the world that have led respondents to consider that New Zealand’s privacy protections do not go far enough. </w:t>
      </w:r>
      <w:r w:rsidR="00332A0F" w:rsidRPr="00960A74">
        <w:t>We hear the concerns raised during this consultation, and we will consider further work to explore these options in detail.</w:t>
      </w:r>
    </w:p>
    <w:p w14:paraId="3B6F4ACD" w14:textId="2640AF35" w:rsidR="009D2BC2" w:rsidRDefault="009D2BC2">
      <w:pPr>
        <w:rPr>
          <w:rFonts w:cs="Arial"/>
          <w:b/>
          <w:bCs/>
          <w:szCs w:val="24"/>
        </w:rPr>
      </w:pPr>
    </w:p>
    <w:p w14:paraId="1362093A" w14:textId="77777777" w:rsidR="002456FF" w:rsidRDefault="002456FF">
      <w:pPr>
        <w:spacing w:after="160" w:line="259" w:lineRule="auto"/>
        <w:rPr>
          <w:rFonts w:cs="Arial"/>
          <w:b/>
          <w:bCs/>
          <w:color w:val="538135" w:themeColor="accent6" w:themeShade="BF"/>
          <w:sz w:val="40"/>
          <w:szCs w:val="40"/>
        </w:rPr>
      </w:pPr>
      <w:r>
        <w:br w:type="page"/>
      </w:r>
    </w:p>
    <w:p w14:paraId="0D2AACDF" w14:textId="2F601067" w:rsidR="009D2BC2" w:rsidRDefault="009D2BC2" w:rsidP="00477256">
      <w:pPr>
        <w:pStyle w:val="Style1"/>
      </w:pPr>
      <w:r w:rsidRPr="00C00461">
        <w:rPr>
          <w:noProof/>
        </w:rPr>
        <w:lastRenderedPageBreak/>
        <w:drawing>
          <wp:anchor distT="0" distB="0" distL="114300" distR="114300" simplePos="0" relativeHeight="251670528" behindDoc="1" locked="0" layoutInCell="1" allowOverlap="1" wp14:anchorId="01977F25" wp14:editId="46D9FDD7">
            <wp:simplePos x="0" y="0"/>
            <wp:positionH relativeFrom="margin">
              <wp:posOffset>4243629</wp:posOffset>
            </wp:positionH>
            <wp:positionV relativeFrom="paragraph">
              <wp:posOffset>245347</wp:posOffset>
            </wp:positionV>
            <wp:extent cx="1440815" cy="1188085"/>
            <wp:effectExtent l="0" t="0" r="6985" b="0"/>
            <wp:wrapSquare wrapText="bothSides"/>
            <wp:docPr id="1172854095" name="Picture 1" descr="A person and a child looking at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54095" name="Picture 1" descr="A person and a child looking at a tablet&#10;&#10;Description automatically generated"/>
                    <pic:cNvPicPr/>
                  </pic:nvPicPr>
                  <pic:blipFill rotWithShape="1">
                    <a:blip r:embed="rId20">
                      <a:extLst>
                        <a:ext uri="{28A0092B-C50C-407E-A947-70E740481C1C}">
                          <a14:useLocalDpi xmlns:a14="http://schemas.microsoft.com/office/drawing/2010/main" val="0"/>
                        </a:ext>
                      </a:extLst>
                    </a:blip>
                    <a:srcRect l="9259" r="5179" b="4626"/>
                    <a:stretch/>
                  </pic:blipFill>
                  <pic:spPr bwMode="auto">
                    <a:xfrm>
                      <a:off x="0" y="0"/>
                      <a:ext cx="1440815" cy="1188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2711">
        <w:t>Theme three</w:t>
      </w:r>
    </w:p>
    <w:p w14:paraId="3936ACFF" w14:textId="77777777" w:rsidR="009D2BC2" w:rsidRPr="00477256" w:rsidRDefault="009D2BC2" w:rsidP="00477256">
      <w:pPr>
        <w:pStyle w:val="Subheading"/>
      </w:pPr>
      <w:r w:rsidRPr="0037285F">
        <w:rPr>
          <w:sz w:val="16"/>
          <w:szCs w:val="16"/>
        </w:rPr>
        <w:br/>
      </w:r>
      <w:r w:rsidRPr="00477256">
        <w:t>There’s great concern about tamariki/children using social media and the risks of the online environment.</w:t>
      </w:r>
    </w:p>
    <w:p w14:paraId="245F2164" w14:textId="147F10DA" w:rsidR="00477256" w:rsidRDefault="0016012A" w:rsidP="002456FF">
      <w:pPr>
        <w:spacing w:afterLines="120" w:after="288"/>
      </w:pPr>
      <w:r w:rsidRPr="00960A74">
        <w:t xml:space="preserve">Alongside the two key themes </w:t>
      </w:r>
      <w:r w:rsidR="00886E8C" w:rsidRPr="00960A74">
        <w:t>calling</w:t>
      </w:r>
      <w:r w:rsidRPr="00960A74">
        <w:t xml:space="preserve"> for guidance and </w:t>
      </w:r>
      <w:r w:rsidR="00886E8C" w:rsidRPr="00960A74">
        <w:t xml:space="preserve">regulatory changes, submissions also made it clear that the risks of social media </w:t>
      </w:r>
      <w:r w:rsidR="00DC2ECC" w:rsidRPr="00960A74">
        <w:t>are</w:t>
      </w:r>
      <w:r w:rsidR="00886E8C" w:rsidRPr="00960A74">
        <w:t xml:space="preserve"> front of mind for </w:t>
      </w:r>
      <w:r w:rsidR="00EB7296" w:rsidRPr="00960A74">
        <w:t>them</w:t>
      </w:r>
      <w:r w:rsidR="00886E8C" w:rsidRPr="00960A74">
        <w:t xml:space="preserve">. There are </w:t>
      </w:r>
      <w:r w:rsidR="009D2BC2" w:rsidRPr="00960A74">
        <w:t>several</w:t>
      </w:r>
      <w:r w:rsidR="00886E8C" w:rsidRPr="00960A74">
        <w:t xml:space="preserve"> privacy risks associated with social media, with submissions noting social media companies, parents using social media, and </w:t>
      </w:r>
      <w:r w:rsidR="00BF62FB" w:rsidRPr="00960A74">
        <w:t>tamariki/</w:t>
      </w:r>
      <w:r w:rsidR="00886E8C" w:rsidRPr="00960A74">
        <w:t>children using social media being the most concerning risks.</w:t>
      </w:r>
    </w:p>
    <w:p w14:paraId="5CFE0386" w14:textId="229622A1" w:rsidR="00BA4182" w:rsidRPr="00477256" w:rsidRDefault="00BA4182" w:rsidP="00477256">
      <w:pPr>
        <w:pStyle w:val="Subheading"/>
      </w:pPr>
      <w:r w:rsidRPr="00477256">
        <w:t>Parents using social media</w:t>
      </w:r>
    </w:p>
    <w:p w14:paraId="182DD354" w14:textId="3B40F575" w:rsidR="00ED2CD5" w:rsidRDefault="00A31395" w:rsidP="002456FF">
      <w:pPr>
        <w:spacing w:afterLines="120" w:after="288"/>
      </w:pPr>
      <w:r w:rsidRPr="00960A74">
        <w:t xml:space="preserve">Submissions noted the risks associated with parents using social media, and the impact this could have on </w:t>
      </w:r>
      <w:r w:rsidR="00BF62FB" w:rsidRPr="00960A74">
        <w:t>tamariki/</w:t>
      </w:r>
      <w:r w:rsidRPr="00960A74">
        <w:t xml:space="preserve">children’s privacy. </w:t>
      </w:r>
      <w:r w:rsidR="00ED2CD5" w:rsidRPr="00960A74">
        <w:t>Not all social media use carries a high risk, but there were certain behaviours that submissions not</w:t>
      </w:r>
      <w:r w:rsidR="00EB7296" w:rsidRPr="00960A74">
        <w:t>ed</w:t>
      </w:r>
      <w:r w:rsidR="00ED2CD5" w:rsidRPr="00960A74">
        <w:t xml:space="preserve"> as being the most concerning. The most significant concern raised was around parents who post their </w:t>
      </w:r>
      <w:r w:rsidR="00BF62FB" w:rsidRPr="00960A74">
        <w:t>tamariki/</w:t>
      </w:r>
      <w:r w:rsidR="00ED2CD5" w:rsidRPr="00960A74">
        <w:t xml:space="preserve">children on social media platforms </w:t>
      </w:r>
      <w:proofErr w:type="gramStart"/>
      <w:r w:rsidR="00ED2CD5" w:rsidRPr="00960A74">
        <w:t>in order to</w:t>
      </w:r>
      <w:proofErr w:type="gramEnd"/>
      <w:r w:rsidR="00ED2CD5" w:rsidRPr="00960A74">
        <w:t xml:space="preserve"> gain a social media following and monetise that content. Submissions suggested an information campaign to educate parents on the risks of posting images of their </w:t>
      </w:r>
      <w:r w:rsidR="00BF62FB" w:rsidRPr="00960A74">
        <w:t>tamariki/</w:t>
      </w:r>
      <w:r w:rsidR="00ED2CD5" w:rsidRPr="00960A74">
        <w:t>children on social media, even if that content is not monetised.</w:t>
      </w:r>
    </w:p>
    <w:p w14:paraId="29AA892B" w14:textId="77777777" w:rsidR="009D2BC2" w:rsidRDefault="009D2BC2" w:rsidP="009D2BC2">
      <w:pPr>
        <w:spacing w:after="0"/>
        <w:rPr>
          <w:rFonts w:cs="Arial"/>
          <w:szCs w:val="24"/>
        </w:rPr>
      </w:pPr>
    </w:p>
    <w:p w14:paraId="1386658C" w14:textId="0E5CF3FE" w:rsidR="009D2BC2" w:rsidRPr="009D2BC2" w:rsidRDefault="00ED2CD5" w:rsidP="009D2BC2">
      <w:pPr>
        <w:spacing w:after="0"/>
        <w:jc w:val="center"/>
        <w:rPr>
          <w:rFonts w:cs="Arial"/>
          <w:b/>
          <w:bCs/>
          <w:color w:val="6B8941"/>
          <w:szCs w:val="24"/>
        </w:rPr>
      </w:pPr>
      <w:r w:rsidRPr="009D2BC2">
        <w:rPr>
          <w:rFonts w:cs="Arial"/>
          <w:b/>
          <w:bCs/>
          <w:color w:val="6B8941"/>
          <w:szCs w:val="24"/>
        </w:rPr>
        <w:t>“This is very difficult, and parents have different levels of understanding and concern about social media use.”</w:t>
      </w:r>
    </w:p>
    <w:p w14:paraId="37926912" w14:textId="77777777" w:rsidR="009D2BC2" w:rsidRDefault="009D2BC2" w:rsidP="009D2BC2">
      <w:pPr>
        <w:spacing w:after="0"/>
        <w:jc w:val="center"/>
        <w:rPr>
          <w:rFonts w:cs="Arial"/>
          <w:b/>
          <w:bCs/>
          <w:color w:val="6B8941"/>
          <w:szCs w:val="24"/>
        </w:rPr>
      </w:pPr>
      <w:r>
        <w:rPr>
          <w:rFonts w:cs="Arial"/>
          <w:sz w:val="16"/>
          <w:szCs w:val="16"/>
        </w:rPr>
        <w:t>Survey respondent.</w:t>
      </w:r>
    </w:p>
    <w:p w14:paraId="725CB2CA" w14:textId="05CB4915" w:rsidR="00CF28E6" w:rsidRDefault="00CF28E6">
      <w:pPr>
        <w:spacing w:after="160" w:line="259" w:lineRule="auto"/>
        <w:rPr>
          <w:rFonts w:cs="Arial"/>
          <w:szCs w:val="24"/>
        </w:rPr>
      </w:pPr>
      <w:r>
        <w:rPr>
          <w:rFonts w:cs="Arial"/>
          <w:szCs w:val="24"/>
        </w:rPr>
        <w:br w:type="page"/>
      </w:r>
    </w:p>
    <w:p w14:paraId="29C9F584" w14:textId="77777777" w:rsidR="002B64E0" w:rsidRPr="009D2BC2" w:rsidRDefault="00BA4182" w:rsidP="00477256">
      <w:pPr>
        <w:pStyle w:val="Subheading"/>
      </w:pPr>
      <w:r w:rsidRPr="009D2BC2">
        <w:lastRenderedPageBreak/>
        <w:t>Children using social media</w:t>
      </w:r>
    </w:p>
    <w:p w14:paraId="12CA4914" w14:textId="461550C3" w:rsidR="009D2BC2" w:rsidRPr="00960A74" w:rsidRDefault="00D8096E" w:rsidP="002456FF">
      <w:pPr>
        <w:spacing w:afterLines="120" w:after="288"/>
      </w:pPr>
      <w:r w:rsidRPr="00960A74">
        <w:t xml:space="preserve">It was clear from the submissions we received that submitters are very concerned about how </w:t>
      </w:r>
      <w:r w:rsidR="00BF62FB" w:rsidRPr="00960A74">
        <w:t>tamariki/</w:t>
      </w:r>
      <w:r w:rsidRPr="00960A74">
        <w:t xml:space="preserve">children use social media. </w:t>
      </w:r>
    </w:p>
    <w:p w14:paraId="1ED59A96" w14:textId="5D53199D" w:rsidR="009D2BC2" w:rsidRPr="002456FF" w:rsidRDefault="00D8096E" w:rsidP="002456FF">
      <w:pPr>
        <w:spacing w:afterLines="120" w:after="288"/>
      </w:pPr>
      <w:r w:rsidRPr="00960A74">
        <w:t xml:space="preserve">They noted that </w:t>
      </w:r>
      <w:r w:rsidR="00BF62FB" w:rsidRPr="00960A74">
        <w:t>tamariki/</w:t>
      </w:r>
      <w:r w:rsidRPr="00960A74">
        <w:t xml:space="preserve">children don’t have the capacity to understand the consequences of posting or doing certain things on social media, and this is a key area where </w:t>
      </w:r>
      <w:r w:rsidR="00BF62FB" w:rsidRPr="00960A74">
        <w:t>tamariki/</w:t>
      </w:r>
      <w:r w:rsidRPr="00960A74">
        <w:t xml:space="preserve">children’s privacy is at risk. Submissions noted risks around how social media companies collect and use </w:t>
      </w:r>
      <w:r w:rsidR="00BF62FB" w:rsidRPr="00960A74">
        <w:t>tamariki/</w:t>
      </w:r>
      <w:r w:rsidRPr="00960A74">
        <w:t xml:space="preserve">children’s data, the </w:t>
      </w:r>
      <w:r w:rsidR="00E54B67" w:rsidRPr="00960A74">
        <w:t xml:space="preserve">risk of bullying, and all content (including photos, comments, and posts) being immortalised on social media. </w:t>
      </w:r>
    </w:p>
    <w:p w14:paraId="0749CEC7" w14:textId="03982E22" w:rsidR="009D2BC2" w:rsidRPr="009D2BC2" w:rsidRDefault="00E54B67" w:rsidP="009D2BC2">
      <w:pPr>
        <w:spacing w:after="0"/>
        <w:jc w:val="center"/>
        <w:rPr>
          <w:rFonts w:cs="Arial"/>
          <w:b/>
          <w:bCs/>
          <w:color w:val="6B8941"/>
          <w:szCs w:val="24"/>
        </w:rPr>
      </w:pPr>
      <w:r w:rsidRPr="009D2BC2">
        <w:rPr>
          <w:rFonts w:cs="Arial"/>
          <w:b/>
          <w:bCs/>
          <w:color w:val="6B8941"/>
          <w:szCs w:val="24"/>
        </w:rPr>
        <w:t>“We put the dangers of smoking on cigarette packets and the potential dangers of social media should be flagged in the same way.”</w:t>
      </w:r>
    </w:p>
    <w:p w14:paraId="13E3EBEE" w14:textId="77777777" w:rsidR="009D2BC2" w:rsidRDefault="009D2BC2" w:rsidP="009D2BC2">
      <w:pPr>
        <w:spacing w:after="0"/>
        <w:jc w:val="center"/>
        <w:rPr>
          <w:rFonts w:cs="Arial"/>
          <w:b/>
          <w:bCs/>
          <w:color w:val="6B8941"/>
          <w:szCs w:val="24"/>
        </w:rPr>
      </w:pPr>
      <w:r>
        <w:rPr>
          <w:rFonts w:cs="Arial"/>
          <w:sz w:val="16"/>
          <w:szCs w:val="16"/>
        </w:rPr>
        <w:t>Survey respondent.</w:t>
      </w:r>
    </w:p>
    <w:p w14:paraId="2EFC41EA" w14:textId="77777777" w:rsidR="009D2BC2" w:rsidRDefault="009D2BC2" w:rsidP="00FB0C93">
      <w:pPr>
        <w:spacing w:after="0"/>
        <w:rPr>
          <w:rFonts w:cs="Arial"/>
          <w:i/>
          <w:iCs/>
          <w:szCs w:val="24"/>
        </w:rPr>
      </w:pPr>
    </w:p>
    <w:p w14:paraId="0B1A7AD6" w14:textId="77777777" w:rsidR="00D8096E" w:rsidRPr="009D2BC2" w:rsidRDefault="00D8096E" w:rsidP="00477256">
      <w:pPr>
        <w:pStyle w:val="Subheading"/>
      </w:pPr>
      <w:r w:rsidRPr="009D2BC2">
        <w:t>Social media companies</w:t>
      </w:r>
    </w:p>
    <w:p w14:paraId="25A00ECC" w14:textId="35A280BB" w:rsidR="00A66428" w:rsidRDefault="00D8096E" w:rsidP="002456FF">
      <w:pPr>
        <w:spacing w:afterLines="120" w:after="288"/>
      </w:pPr>
      <w:r w:rsidRPr="00960A74">
        <w:t xml:space="preserve">Respondents noted that minimum age requirements are difficult for social media companies to enforce, as it is relatively common for </w:t>
      </w:r>
      <w:r w:rsidR="00BF62FB" w:rsidRPr="00960A74">
        <w:t>rangatahi/</w:t>
      </w:r>
      <w:r w:rsidRPr="00960A74">
        <w:t>young people to use a false birthday when creating an account. Su</w:t>
      </w:r>
      <w:r w:rsidR="00E54B67" w:rsidRPr="00960A74">
        <w:t>b</w:t>
      </w:r>
      <w:r w:rsidRPr="00960A74">
        <w:t xml:space="preserve">missions also noted the risks of </w:t>
      </w:r>
      <w:r w:rsidR="00BF62FB" w:rsidRPr="00960A74">
        <w:t>tamariki/</w:t>
      </w:r>
      <w:r w:rsidRPr="00960A74">
        <w:t xml:space="preserve">children’s social media data being shared with or used by third parties, a risk which can be exacerbated by </w:t>
      </w:r>
      <w:r w:rsidR="00BF62FB" w:rsidRPr="00960A74">
        <w:t>tamariki/</w:t>
      </w:r>
      <w:r w:rsidRPr="00960A74">
        <w:t xml:space="preserve">children using false ages. One submission suggested a good way to try to manage these risks is to do an information campaign to help parents understand the risks and tips on how to protect their </w:t>
      </w:r>
      <w:r w:rsidR="00BF62FB" w:rsidRPr="00960A74">
        <w:t>tamariki/</w:t>
      </w:r>
      <w:r w:rsidRPr="00960A74">
        <w:t>children on social media.</w:t>
      </w:r>
    </w:p>
    <w:p w14:paraId="64223F46" w14:textId="77777777" w:rsidR="009D2BC2" w:rsidRPr="00960A74" w:rsidRDefault="009D2BC2" w:rsidP="00FB0C93">
      <w:pPr>
        <w:spacing w:after="0"/>
        <w:rPr>
          <w:rFonts w:cs="Arial"/>
          <w:szCs w:val="24"/>
        </w:rPr>
      </w:pPr>
    </w:p>
    <w:p w14:paraId="3F12718E" w14:textId="4278A2AC" w:rsidR="00E54B67" w:rsidRPr="009D2BC2" w:rsidRDefault="00E54B67" w:rsidP="002456FF">
      <w:pPr>
        <w:pStyle w:val="Style1"/>
      </w:pPr>
      <w:r w:rsidRPr="009D2BC2">
        <w:t xml:space="preserve">What can </w:t>
      </w:r>
      <w:r w:rsidR="00855B0A" w:rsidRPr="009D2BC2">
        <w:t>we</w:t>
      </w:r>
      <w:r w:rsidRPr="009D2BC2">
        <w:t xml:space="preserve"> learn from this?</w:t>
      </w:r>
    </w:p>
    <w:p w14:paraId="4C6B2398" w14:textId="3E1AE2FF" w:rsidR="00332A0F" w:rsidRPr="00960A74" w:rsidRDefault="00332A0F" w:rsidP="00CF28E6">
      <w:r w:rsidRPr="00960A74">
        <w:t>Concerns about social media and the online environment was a thread wove</w:t>
      </w:r>
      <w:r w:rsidR="00EB7296" w:rsidRPr="00960A74">
        <w:t>n</w:t>
      </w:r>
      <w:r w:rsidRPr="00960A74">
        <w:t xml:space="preserve"> through the submissions. We understand we will need to consider these concerns in any action we do moving forward, including drafting guidance and looking into options for a regulatory response. </w:t>
      </w:r>
    </w:p>
    <w:p w14:paraId="0E2B6061" w14:textId="77777777" w:rsidR="00332A0F" w:rsidRDefault="00332A0F" w:rsidP="00477256"/>
    <w:p w14:paraId="5DF2C07C" w14:textId="77777777" w:rsidR="009D2BC2" w:rsidRDefault="009D2BC2" w:rsidP="00FB0C93">
      <w:pPr>
        <w:spacing w:after="0"/>
        <w:rPr>
          <w:rFonts w:cs="Arial"/>
          <w:szCs w:val="24"/>
        </w:rPr>
      </w:pPr>
    </w:p>
    <w:p w14:paraId="3B4BFF20" w14:textId="77777777" w:rsidR="009D2BC2" w:rsidRPr="00A47780" w:rsidRDefault="009D2BC2" w:rsidP="00942353">
      <w:pPr>
        <w:pStyle w:val="Style1"/>
        <w:rPr>
          <w:sz w:val="44"/>
          <w:szCs w:val="44"/>
          <w:lang w:val="mi-NZ"/>
        </w:rPr>
      </w:pPr>
      <w:r>
        <w:lastRenderedPageBreak/>
        <w:t>Ng</w:t>
      </w:r>
      <w:r>
        <w:rPr>
          <w:lang w:val="mi-NZ"/>
        </w:rPr>
        <w:t>ā mihi</w:t>
      </w:r>
    </w:p>
    <w:p w14:paraId="4CAC98D2" w14:textId="56BD6802" w:rsidR="009D2BC2" w:rsidRPr="00960A74" w:rsidRDefault="009D2BC2" w:rsidP="00FB0C93">
      <w:pPr>
        <w:spacing w:after="0"/>
        <w:rPr>
          <w:rFonts w:cs="Arial"/>
          <w:szCs w:val="24"/>
        </w:rPr>
      </w:pPr>
    </w:p>
    <w:p w14:paraId="4921DF81" w14:textId="448DC780" w:rsidR="00E54B67" w:rsidRPr="00960A74" w:rsidRDefault="00E54B67" w:rsidP="00942353">
      <w:pPr>
        <w:pStyle w:val="Subheading"/>
      </w:pPr>
      <w:r w:rsidRPr="00960A74">
        <w:t>Thank you for sharing your thoughts with us!</w:t>
      </w:r>
    </w:p>
    <w:p w14:paraId="55D35361" w14:textId="031A743D" w:rsidR="00E54B67" w:rsidRDefault="009D2BC2" w:rsidP="00942353">
      <w:r>
        <w:t>We</w:t>
      </w:r>
      <w:r w:rsidR="00E54B67" w:rsidRPr="00960A74">
        <w:t xml:space="preserve"> would like to thank all of those who took the time to share their thoughts on </w:t>
      </w:r>
      <w:r w:rsidR="00BF62FB" w:rsidRPr="00960A74">
        <w:t>tamariki/</w:t>
      </w:r>
      <w:r w:rsidR="00E54B67" w:rsidRPr="00960A74">
        <w:t xml:space="preserve">children’s privacy in New Zealand. </w:t>
      </w:r>
      <w:r w:rsidR="00E149BB" w:rsidRPr="00960A74">
        <w:t xml:space="preserve">Thank you for sharing your experiences and opinions with </w:t>
      </w:r>
      <w:r w:rsidR="00EB7296" w:rsidRPr="00960A74">
        <w:t>us and</w:t>
      </w:r>
      <w:r w:rsidR="00E149BB" w:rsidRPr="00960A74">
        <w:t xml:space="preserve"> sending us such detailed and thoughtful submissions.</w:t>
      </w:r>
    </w:p>
    <w:p w14:paraId="1F0B8922" w14:textId="77777777" w:rsidR="00595B3D" w:rsidRPr="00960A74" w:rsidRDefault="00595B3D" w:rsidP="00942353"/>
    <w:p w14:paraId="24AAC535" w14:textId="4F9BF501" w:rsidR="00E149BB" w:rsidRPr="00960A74" w:rsidRDefault="00E149BB" w:rsidP="00942353">
      <w:r w:rsidRPr="00960A74">
        <w:t xml:space="preserve">We will genuinely consider this valuable feedback to finalise the next steps for protecting </w:t>
      </w:r>
      <w:r w:rsidR="00BF62FB" w:rsidRPr="00960A74">
        <w:t>tamariki/</w:t>
      </w:r>
      <w:r w:rsidRPr="00960A74">
        <w:t>children’s privacy in the coming months.</w:t>
      </w:r>
    </w:p>
    <w:sectPr w:rsidR="00E149BB" w:rsidRPr="00960A74" w:rsidSect="00D635D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5E7B4" w14:textId="77777777" w:rsidR="00D635D2" w:rsidRDefault="00D635D2" w:rsidP="004A4407">
      <w:pPr>
        <w:spacing w:after="0" w:line="240" w:lineRule="auto"/>
      </w:pPr>
      <w:r>
        <w:separator/>
      </w:r>
    </w:p>
    <w:p w14:paraId="6816D814" w14:textId="77777777" w:rsidR="00D635D2" w:rsidRDefault="00D635D2"/>
  </w:endnote>
  <w:endnote w:type="continuationSeparator" w:id="0">
    <w:p w14:paraId="0C0B2C7B" w14:textId="77777777" w:rsidR="00D635D2" w:rsidRDefault="00D635D2" w:rsidP="004A4407">
      <w:pPr>
        <w:spacing w:after="0" w:line="240" w:lineRule="auto"/>
      </w:pPr>
      <w:r>
        <w:continuationSeparator/>
      </w:r>
    </w:p>
    <w:p w14:paraId="23B620B5" w14:textId="77777777" w:rsidR="00D635D2" w:rsidRDefault="00D63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184392"/>
      <w:docPartObj>
        <w:docPartGallery w:val="Page Numbers (Bottom of Page)"/>
        <w:docPartUnique/>
      </w:docPartObj>
    </w:sdtPr>
    <w:sdtEndPr>
      <w:rPr>
        <w:rFonts w:cs="Arial"/>
        <w:noProof/>
      </w:rPr>
    </w:sdtEndPr>
    <w:sdtContent>
      <w:p w14:paraId="6AA559C2" w14:textId="5421B976" w:rsidR="00960A74" w:rsidRPr="00E757D7" w:rsidRDefault="00960A74">
        <w:pPr>
          <w:pStyle w:val="Footer"/>
          <w:jc w:val="right"/>
          <w:rPr>
            <w:rFonts w:cs="Arial"/>
          </w:rPr>
        </w:pPr>
        <w:r w:rsidRPr="00E757D7">
          <w:rPr>
            <w:rFonts w:cs="Arial"/>
            <w:noProof/>
          </w:rPr>
          <w:drawing>
            <wp:anchor distT="0" distB="0" distL="114300" distR="114300" simplePos="0" relativeHeight="251659264" behindDoc="1" locked="0" layoutInCell="1" allowOverlap="1" wp14:anchorId="2CD4C07B" wp14:editId="10C4D17D">
              <wp:simplePos x="0" y="0"/>
              <wp:positionH relativeFrom="column">
                <wp:posOffset>-978011</wp:posOffset>
              </wp:positionH>
              <wp:positionV relativeFrom="paragraph">
                <wp:posOffset>-748058</wp:posOffset>
              </wp:positionV>
              <wp:extent cx="2876951" cy="2324424"/>
              <wp:effectExtent l="0" t="0" r="0" b="0"/>
              <wp:wrapNone/>
              <wp:docPr id="16588880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42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76951" cy="2324424"/>
                      </a:xfrm>
                      <a:prstGeom prst="rect">
                        <a:avLst/>
                      </a:prstGeom>
                    </pic:spPr>
                  </pic:pic>
                </a:graphicData>
              </a:graphic>
            </wp:anchor>
          </w:drawing>
        </w:r>
        <w:r w:rsidRPr="00E757D7">
          <w:rPr>
            <w:rFonts w:cs="Arial"/>
          </w:rPr>
          <w:fldChar w:fldCharType="begin"/>
        </w:r>
        <w:r w:rsidRPr="00E757D7">
          <w:rPr>
            <w:rFonts w:cs="Arial"/>
          </w:rPr>
          <w:instrText xml:space="preserve"> PAGE   \* MERGEFORMAT </w:instrText>
        </w:r>
        <w:r w:rsidRPr="00E757D7">
          <w:rPr>
            <w:rFonts w:cs="Arial"/>
          </w:rPr>
          <w:fldChar w:fldCharType="separate"/>
        </w:r>
        <w:r w:rsidRPr="00E757D7">
          <w:rPr>
            <w:rFonts w:cs="Arial"/>
            <w:noProof/>
          </w:rPr>
          <w:t>2</w:t>
        </w:r>
        <w:r w:rsidRPr="00E757D7">
          <w:rPr>
            <w:rFonts w:cs="Arial"/>
            <w:noProof/>
          </w:rPr>
          <w:fldChar w:fldCharType="end"/>
        </w:r>
      </w:p>
    </w:sdtContent>
  </w:sdt>
  <w:p w14:paraId="6EF6338C" w14:textId="718DDEB2" w:rsidR="00FB0C93" w:rsidRDefault="00FB0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F779F" w14:textId="77777777" w:rsidR="00D635D2" w:rsidRDefault="00D635D2" w:rsidP="004A4407">
      <w:pPr>
        <w:spacing w:after="0" w:line="240" w:lineRule="auto"/>
      </w:pPr>
      <w:r>
        <w:separator/>
      </w:r>
    </w:p>
    <w:p w14:paraId="316CC60F" w14:textId="77777777" w:rsidR="00D635D2" w:rsidRDefault="00D635D2"/>
  </w:footnote>
  <w:footnote w:type="continuationSeparator" w:id="0">
    <w:p w14:paraId="042A3032" w14:textId="77777777" w:rsidR="00D635D2" w:rsidRDefault="00D635D2" w:rsidP="004A4407">
      <w:pPr>
        <w:spacing w:after="0" w:line="240" w:lineRule="auto"/>
      </w:pPr>
      <w:r>
        <w:continuationSeparator/>
      </w:r>
    </w:p>
    <w:p w14:paraId="6187A922" w14:textId="77777777" w:rsidR="00D635D2" w:rsidRDefault="00D635D2"/>
  </w:footnote>
  <w:footnote w:id="1">
    <w:p w14:paraId="130A11EB" w14:textId="06F0E865" w:rsidR="008C1D5B" w:rsidRPr="00960A74" w:rsidRDefault="008C1D5B" w:rsidP="008B5075">
      <w:pPr>
        <w:pStyle w:val="FootnoteText"/>
        <w:jc w:val="right"/>
        <w:rPr>
          <w:rFonts w:cs="Arial"/>
          <w:sz w:val="16"/>
          <w:szCs w:val="16"/>
        </w:rPr>
      </w:pPr>
      <w:r w:rsidRPr="00960A74">
        <w:rPr>
          <w:rStyle w:val="FootnoteReference"/>
          <w:rFonts w:cs="Arial"/>
          <w:sz w:val="16"/>
          <w:szCs w:val="16"/>
        </w:rPr>
        <w:footnoteRef/>
      </w:r>
      <w:r w:rsidRPr="00960A74">
        <w:rPr>
          <w:rFonts w:cs="Arial"/>
          <w:sz w:val="16"/>
          <w:szCs w:val="16"/>
        </w:rPr>
        <w:t xml:space="preserve"> Some respondents indicated that their role covered multiple sectors.</w:t>
      </w:r>
    </w:p>
  </w:footnote>
  <w:footnote w:id="2">
    <w:p w14:paraId="38AE447D" w14:textId="24319858" w:rsidR="004A4407" w:rsidRPr="008B5075" w:rsidRDefault="004A4407" w:rsidP="008B5075">
      <w:pPr>
        <w:pStyle w:val="FootnoteText"/>
        <w:jc w:val="right"/>
        <w:rPr>
          <w:rFonts w:cs="Arial"/>
          <w:sz w:val="16"/>
          <w:szCs w:val="16"/>
        </w:rPr>
      </w:pPr>
      <w:r w:rsidRPr="008B5075">
        <w:rPr>
          <w:rStyle w:val="FootnoteReference"/>
          <w:rFonts w:cs="Arial"/>
          <w:sz w:val="16"/>
          <w:szCs w:val="16"/>
        </w:rPr>
        <w:footnoteRef/>
      </w:r>
      <w:r w:rsidRPr="008B5075">
        <w:rPr>
          <w:rFonts w:cs="Arial"/>
          <w:sz w:val="16"/>
          <w:szCs w:val="16"/>
        </w:rPr>
        <w:t xml:space="preserve"> EdTech (educational technology) are tech tools that help with teaching and learning at schools. </w:t>
      </w:r>
    </w:p>
  </w:footnote>
  <w:footnote w:id="3">
    <w:p w14:paraId="20D97B80" w14:textId="636DD48C" w:rsidR="00882821" w:rsidRPr="008B5075" w:rsidRDefault="00882821" w:rsidP="008B5075">
      <w:pPr>
        <w:pStyle w:val="FootnoteText"/>
        <w:jc w:val="right"/>
        <w:rPr>
          <w:rFonts w:cs="Arial"/>
          <w:sz w:val="16"/>
          <w:szCs w:val="16"/>
        </w:rPr>
      </w:pPr>
      <w:r w:rsidRPr="008B5075">
        <w:rPr>
          <w:rStyle w:val="FootnoteReference"/>
          <w:rFonts w:cs="Arial"/>
          <w:sz w:val="16"/>
          <w:szCs w:val="16"/>
        </w:rPr>
        <w:footnoteRef/>
      </w:r>
      <w:r w:rsidRPr="008B5075">
        <w:rPr>
          <w:rFonts w:cs="Arial"/>
          <w:sz w:val="16"/>
          <w:szCs w:val="16"/>
        </w:rPr>
        <w:t xml:space="preserve"> This is also known as the right to erasure and the right of deletion – these are similar concepts, although there is some difference between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B229" w14:textId="727C3565" w:rsidR="004C101A" w:rsidRDefault="004C101A" w:rsidP="004C101A">
    <w:pPr>
      <w:pStyle w:val="Header"/>
      <w:jc w:val="right"/>
    </w:pPr>
    <w:r>
      <w:rPr>
        <w:noProof/>
      </w:rPr>
      <w:drawing>
        <wp:anchor distT="0" distB="0" distL="114300" distR="114300" simplePos="0" relativeHeight="251660288" behindDoc="1" locked="0" layoutInCell="1" allowOverlap="1" wp14:anchorId="22194E2B" wp14:editId="0C88892B">
          <wp:simplePos x="0" y="0"/>
          <wp:positionH relativeFrom="margin">
            <wp:posOffset>4271645</wp:posOffset>
          </wp:positionH>
          <wp:positionV relativeFrom="paragraph">
            <wp:posOffset>-113665</wp:posOffset>
          </wp:positionV>
          <wp:extent cx="1457325" cy="309245"/>
          <wp:effectExtent l="0" t="0" r="9525" b="0"/>
          <wp:wrapTight wrapText="bothSides">
            <wp:wrapPolygon edited="0">
              <wp:start x="0" y="0"/>
              <wp:lineTo x="0" y="19959"/>
              <wp:lineTo x="21459" y="19959"/>
              <wp:lineTo x="21459" y="0"/>
              <wp:lineTo x="0" y="0"/>
            </wp:wrapPolygon>
          </wp:wrapTight>
          <wp:docPr id="1009615929" name="Picture 3" descr="A close up of Office of the Privacy Commissioner's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55051" name="Picture 3" descr="A close up of Office of the Privacy Commissioner's green logo"/>
                  <pic:cNvPicPr/>
                </pic:nvPicPr>
                <pic:blipFill>
                  <a:blip r:embed="rId1">
                    <a:extLst>
                      <a:ext uri="{28A0092B-C50C-407E-A947-70E740481C1C}">
                        <a14:useLocalDpi xmlns:a14="http://schemas.microsoft.com/office/drawing/2010/main" val="0"/>
                      </a:ext>
                    </a:extLst>
                  </a:blip>
                  <a:stretch>
                    <a:fillRect/>
                  </a:stretch>
                </pic:blipFill>
                <pic:spPr>
                  <a:xfrm>
                    <a:off x="0" y="0"/>
                    <a:ext cx="1457325" cy="309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B65"/>
    <w:multiLevelType w:val="hybridMultilevel"/>
    <w:tmpl w:val="DFC067D6"/>
    <w:lvl w:ilvl="0" w:tplc="14090001">
      <w:start w:val="1"/>
      <w:numFmt w:val="bullet"/>
      <w:lvlText w:val=""/>
      <w:lvlJc w:val="left"/>
      <w:pPr>
        <w:ind w:left="784" w:hanging="360"/>
      </w:pPr>
      <w:rPr>
        <w:rFonts w:ascii="Symbol" w:hAnsi="Symbol" w:hint="default"/>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1" w15:restartNumberingAfterBreak="0">
    <w:nsid w:val="09D3160A"/>
    <w:multiLevelType w:val="hybridMultilevel"/>
    <w:tmpl w:val="51C66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A81180"/>
    <w:multiLevelType w:val="hybridMultilevel"/>
    <w:tmpl w:val="192C1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137990"/>
    <w:multiLevelType w:val="hybridMultilevel"/>
    <w:tmpl w:val="BEDCA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303219"/>
    <w:multiLevelType w:val="hybridMultilevel"/>
    <w:tmpl w:val="BF9EB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7104D7"/>
    <w:multiLevelType w:val="hybridMultilevel"/>
    <w:tmpl w:val="CDC23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4D0110"/>
    <w:multiLevelType w:val="hybridMultilevel"/>
    <w:tmpl w:val="D110E0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585E61"/>
    <w:multiLevelType w:val="hybridMultilevel"/>
    <w:tmpl w:val="D4C06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624B02"/>
    <w:multiLevelType w:val="hybridMultilevel"/>
    <w:tmpl w:val="BEBEF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28717B"/>
    <w:multiLevelType w:val="hybridMultilevel"/>
    <w:tmpl w:val="CFEC41AA"/>
    <w:lvl w:ilvl="0" w:tplc="1409000F">
      <w:start w:val="1"/>
      <w:numFmt w:val="decimal"/>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10" w15:restartNumberingAfterBreak="0">
    <w:nsid w:val="49C83126"/>
    <w:multiLevelType w:val="hybridMultilevel"/>
    <w:tmpl w:val="81809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9F85626"/>
    <w:multiLevelType w:val="hybridMultilevel"/>
    <w:tmpl w:val="4F1AE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C8053B9"/>
    <w:multiLevelType w:val="hybridMultilevel"/>
    <w:tmpl w:val="6ECE2D00"/>
    <w:lvl w:ilvl="0" w:tplc="1409000F">
      <w:start w:val="1"/>
      <w:numFmt w:val="decimal"/>
      <w:lvlText w:val="%1."/>
      <w:lvlJc w:val="left"/>
      <w:pPr>
        <w:ind w:left="783" w:hanging="360"/>
      </w:pPr>
    </w:lvl>
    <w:lvl w:ilvl="1" w:tplc="14090019" w:tentative="1">
      <w:start w:val="1"/>
      <w:numFmt w:val="lowerLetter"/>
      <w:lvlText w:val="%2."/>
      <w:lvlJc w:val="left"/>
      <w:pPr>
        <w:ind w:left="1503" w:hanging="360"/>
      </w:pPr>
    </w:lvl>
    <w:lvl w:ilvl="2" w:tplc="1409001B" w:tentative="1">
      <w:start w:val="1"/>
      <w:numFmt w:val="lowerRoman"/>
      <w:lvlText w:val="%3."/>
      <w:lvlJc w:val="right"/>
      <w:pPr>
        <w:ind w:left="2223" w:hanging="180"/>
      </w:pPr>
    </w:lvl>
    <w:lvl w:ilvl="3" w:tplc="1409000F" w:tentative="1">
      <w:start w:val="1"/>
      <w:numFmt w:val="decimal"/>
      <w:lvlText w:val="%4."/>
      <w:lvlJc w:val="left"/>
      <w:pPr>
        <w:ind w:left="2943" w:hanging="360"/>
      </w:pPr>
    </w:lvl>
    <w:lvl w:ilvl="4" w:tplc="14090019" w:tentative="1">
      <w:start w:val="1"/>
      <w:numFmt w:val="lowerLetter"/>
      <w:lvlText w:val="%5."/>
      <w:lvlJc w:val="left"/>
      <w:pPr>
        <w:ind w:left="3663" w:hanging="360"/>
      </w:pPr>
    </w:lvl>
    <w:lvl w:ilvl="5" w:tplc="1409001B" w:tentative="1">
      <w:start w:val="1"/>
      <w:numFmt w:val="lowerRoman"/>
      <w:lvlText w:val="%6."/>
      <w:lvlJc w:val="right"/>
      <w:pPr>
        <w:ind w:left="4383" w:hanging="180"/>
      </w:pPr>
    </w:lvl>
    <w:lvl w:ilvl="6" w:tplc="1409000F" w:tentative="1">
      <w:start w:val="1"/>
      <w:numFmt w:val="decimal"/>
      <w:lvlText w:val="%7."/>
      <w:lvlJc w:val="left"/>
      <w:pPr>
        <w:ind w:left="5103" w:hanging="360"/>
      </w:pPr>
    </w:lvl>
    <w:lvl w:ilvl="7" w:tplc="14090019" w:tentative="1">
      <w:start w:val="1"/>
      <w:numFmt w:val="lowerLetter"/>
      <w:lvlText w:val="%8."/>
      <w:lvlJc w:val="left"/>
      <w:pPr>
        <w:ind w:left="5823" w:hanging="360"/>
      </w:pPr>
    </w:lvl>
    <w:lvl w:ilvl="8" w:tplc="1409001B" w:tentative="1">
      <w:start w:val="1"/>
      <w:numFmt w:val="lowerRoman"/>
      <w:lvlText w:val="%9."/>
      <w:lvlJc w:val="right"/>
      <w:pPr>
        <w:ind w:left="6543" w:hanging="180"/>
      </w:pPr>
    </w:lvl>
  </w:abstractNum>
  <w:abstractNum w:abstractNumId="13" w15:restartNumberingAfterBreak="0">
    <w:nsid w:val="5E6F1811"/>
    <w:multiLevelType w:val="hybridMultilevel"/>
    <w:tmpl w:val="FE18A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0107E57"/>
    <w:multiLevelType w:val="hybridMultilevel"/>
    <w:tmpl w:val="6818D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A4D60CA"/>
    <w:multiLevelType w:val="hybridMultilevel"/>
    <w:tmpl w:val="00EE0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BC817C3"/>
    <w:multiLevelType w:val="hybridMultilevel"/>
    <w:tmpl w:val="B2A27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862467"/>
    <w:multiLevelType w:val="hybridMultilevel"/>
    <w:tmpl w:val="9BB01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EA3FCD"/>
    <w:multiLevelType w:val="hybridMultilevel"/>
    <w:tmpl w:val="AEA2F6F6"/>
    <w:lvl w:ilvl="0" w:tplc="14090001">
      <w:start w:val="1"/>
      <w:numFmt w:val="bullet"/>
      <w:lvlText w:val=""/>
      <w:lvlJc w:val="left"/>
      <w:pPr>
        <w:ind w:left="783" w:hanging="360"/>
      </w:pPr>
      <w:rPr>
        <w:rFonts w:ascii="Symbol" w:hAnsi="Symbol" w:hint="default"/>
      </w:rPr>
    </w:lvl>
    <w:lvl w:ilvl="1" w:tplc="14090003">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19" w15:restartNumberingAfterBreak="0">
    <w:nsid w:val="7C441B5F"/>
    <w:multiLevelType w:val="hybridMultilevel"/>
    <w:tmpl w:val="97540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34506468">
    <w:abstractNumId w:val="6"/>
  </w:num>
  <w:num w:numId="2" w16cid:durableId="1780252082">
    <w:abstractNumId w:val="17"/>
  </w:num>
  <w:num w:numId="3" w16cid:durableId="1090195183">
    <w:abstractNumId w:val="2"/>
  </w:num>
  <w:num w:numId="4" w16cid:durableId="505024941">
    <w:abstractNumId w:val="14"/>
  </w:num>
  <w:num w:numId="5" w16cid:durableId="1259867599">
    <w:abstractNumId w:val="15"/>
  </w:num>
  <w:num w:numId="6" w16cid:durableId="280264266">
    <w:abstractNumId w:val="8"/>
  </w:num>
  <w:num w:numId="7" w16cid:durableId="1420105477">
    <w:abstractNumId w:val="10"/>
  </w:num>
  <w:num w:numId="8" w16cid:durableId="514921091">
    <w:abstractNumId w:val="13"/>
  </w:num>
  <w:num w:numId="9" w16cid:durableId="1441533441">
    <w:abstractNumId w:val="16"/>
  </w:num>
  <w:num w:numId="10" w16cid:durableId="1471437791">
    <w:abstractNumId w:val="7"/>
  </w:num>
  <w:num w:numId="11" w16cid:durableId="802819502">
    <w:abstractNumId w:val="0"/>
  </w:num>
  <w:num w:numId="12" w16cid:durableId="825821885">
    <w:abstractNumId w:val="3"/>
  </w:num>
  <w:num w:numId="13" w16cid:durableId="361059013">
    <w:abstractNumId w:val="5"/>
  </w:num>
  <w:num w:numId="14" w16cid:durableId="220216024">
    <w:abstractNumId w:val="4"/>
  </w:num>
  <w:num w:numId="15" w16cid:durableId="2122651631">
    <w:abstractNumId w:val="11"/>
  </w:num>
  <w:num w:numId="16" w16cid:durableId="2057971753">
    <w:abstractNumId w:val="12"/>
  </w:num>
  <w:num w:numId="17" w16cid:durableId="1054157792">
    <w:abstractNumId w:val="18"/>
  </w:num>
  <w:num w:numId="18" w16cid:durableId="570576934">
    <w:abstractNumId w:val="19"/>
  </w:num>
  <w:num w:numId="19" w16cid:durableId="1350982420">
    <w:abstractNumId w:val="9"/>
  </w:num>
  <w:num w:numId="20" w16cid:durableId="2028824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25"/>
    <w:rsid w:val="00015F9D"/>
    <w:rsid w:val="00052A6E"/>
    <w:rsid w:val="00071C78"/>
    <w:rsid w:val="00073FA7"/>
    <w:rsid w:val="00092AB3"/>
    <w:rsid w:val="00092AD4"/>
    <w:rsid w:val="000A0134"/>
    <w:rsid w:val="000A426F"/>
    <w:rsid w:val="000C71C0"/>
    <w:rsid w:val="00117A8A"/>
    <w:rsid w:val="00140525"/>
    <w:rsid w:val="00144C4F"/>
    <w:rsid w:val="001476A4"/>
    <w:rsid w:val="00157D9D"/>
    <w:rsid w:val="0016012A"/>
    <w:rsid w:val="001741E4"/>
    <w:rsid w:val="001A1865"/>
    <w:rsid w:val="001D3826"/>
    <w:rsid w:val="001E178C"/>
    <w:rsid w:val="001F57BA"/>
    <w:rsid w:val="00211CBB"/>
    <w:rsid w:val="00222764"/>
    <w:rsid w:val="0022790A"/>
    <w:rsid w:val="00230474"/>
    <w:rsid w:val="002456FF"/>
    <w:rsid w:val="00273A44"/>
    <w:rsid w:val="0027726F"/>
    <w:rsid w:val="00296F77"/>
    <w:rsid w:val="002A21B6"/>
    <w:rsid w:val="002A67FF"/>
    <w:rsid w:val="002B1990"/>
    <w:rsid w:val="002B1A48"/>
    <w:rsid w:val="002B64E0"/>
    <w:rsid w:val="002D31CE"/>
    <w:rsid w:val="002D5075"/>
    <w:rsid w:val="003029A8"/>
    <w:rsid w:val="00332A0F"/>
    <w:rsid w:val="0033400C"/>
    <w:rsid w:val="00337BC5"/>
    <w:rsid w:val="00366231"/>
    <w:rsid w:val="003744F4"/>
    <w:rsid w:val="00377030"/>
    <w:rsid w:val="003A230F"/>
    <w:rsid w:val="003B61D2"/>
    <w:rsid w:val="003C6F71"/>
    <w:rsid w:val="003E251C"/>
    <w:rsid w:val="003E5517"/>
    <w:rsid w:val="003F0EE4"/>
    <w:rsid w:val="00401FF3"/>
    <w:rsid w:val="0041020F"/>
    <w:rsid w:val="00424B3E"/>
    <w:rsid w:val="004300D4"/>
    <w:rsid w:val="00431E4B"/>
    <w:rsid w:val="0043217B"/>
    <w:rsid w:val="00435FFB"/>
    <w:rsid w:val="00441CCE"/>
    <w:rsid w:val="004526C0"/>
    <w:rsid w:val="004549E6"/>
    <w:rsid w:val="0047363C"/>
    <w:rsid w:val="00477256"/>
    <w:rsid w:val="00483025"/>
    <w:rsid w:val="004A4407"/>
    <w:rsid w:val="004A4D5C"/>
    <w:rsid w:val="004B7550"/>
    <w:rsid w:val="004C101A"/>
    <w:rsid w:val="004C7D18"/>
    <w:rsid w:val="004D0644"/>
    <w:rsid w:val="005058DF"/>
    <w:rsid w:val="005061B0"/>
    <w:rsid w:val="00520101"/>
    <w:rsid w:val="00522CE8"/>
    <w:rsid w:val="00525DFA"/>
    <w:rsid w:val="00553444"/>
    <w:rsid w:val="00581727"/>
    <w:rsid w:val="00595B3D"/>
    <w:rsid w:val="005E0005"/>
    <w:rsid w:val="005F00C9"/>
    <w:rsid w:val="0063776E"/>
    <w:rsid w:val="006451BA"/>
    <w:rsid w:val="00654B42"/>
    <w:rsid w:val="00673541"/>
    <w:rsid w:val="006767B0"/>
    <w:rsid w:val="00686EB9"/>
    <w:rsid w:val="006875BB"/>
    <w:rsid w:val="00690664"/>
    <w:rsid w:val="00695939"/>
    <w:rsid w:val="00696A92"/>
    <w:rsid w:val="006A02DD"/>
    <w:rsid w:val="006D1FA0"/>
    <w:rsid w:val="006E6959"/>
    <w:rsid w:val="006F6604"/>
    <w:rsid w:val="00701D42"/>
    <w:rsid w:val="0070773F"/>
    <w:rsid w:val="00710F7D"/>
    <w:rsid w:val="00711E6B"/>
    <w:rsid w:val="007258E6"/>
    <w:rsid w:val="00726AAD"/>
    <w:rsid w:val="007905FC"/>
    <w:rsid w:val="007961B7"/>
    <w:rsid w:val="0079705F"/>
    <w:rsid w:val="007A6991"/>
    <w:rsid w:val="007B548A"/>
    <w:rsid w:val="007B5DFF"/>
    <w:rsid w:val="007C6639"/>
    <w:rsid w:val="007F41F6"/>
    <w:rsid w:val="0080782B"/>
    <w:rsid w:val="00811465"/>
    <w:rsid w:val="0082265A"/>
    <w:rsid w:val="00831158"/>
    <w:rsid w:val="0083459E"/>
    <w:rsid w:val="00835835"/>
    <w:rsid w:val="00841756"/>
    <w:rsid w:val="00846546"/>
    <w:rsid w:val="00855B0A"/>
    <w:rsid w:val="008649A5"/>
    <w:rsid w:val="00875D75"/>
    <w:rsid w:val="00877EC5"/>
    <w:rsid w:val="00882821"/>
    <w:rsid w:val="00883538"/>
    <w:rsid w:val="00886E8C"/>
    <w:rsid w:val="00887DE8"/>
    <w:rsid w:val="00892206"/>
    <w:rsid w:val="008B5075"/>
    <w:rsid w:val="008C1D5B"/>
    <w:rsid w:val="0091433A"/>
    <w:rsid w:val="0092667E"/>
    <w:rsid w:val="009400E1"/>
    <w:rsid w:val="00942353"/>
    <w:rsid w:val="0095585E"/>
    <w:rsid w:val="00960A74"/>
    <w:rsid w:val="00970CD8"/>
    <w:rsid w:val="009762F1"/>
    <w:rsid w:val="00980CDF"/>
    <w:rsid w:val="00986181"/>
    <w:rsid w:val="00992691"/>
    <w:rsid w:val="009A5C6D"/>
    <w:rsid w:val="009B4A95"/>
    <w:rsid w:val="009C25BA"/>
    <w:rsid w:val="009D15E9"/>
    <w:rsid w:val="009D2BC2"/>
    <w:rsid w:val="009F52E7"/>
    <w:rsid w:val="009F7F32"/>
    <w:rsid w:val="00A07747"/>
    <w:rsid w:val="00A14F1C"/>
    <w:rsid w:val="00A15265"/>
    <w:rsid w:val="00A15C4E"/>
    <w:rsid w:val="00A31395"/>
    <w:rsid w:val="00A40F93"/>
    <w:rsid w:val="00A448BE"/>
    <w:rsid w:val="00A4600F"/>
    <w:rsid w:val="00A51D6B"/>
    <w:rsid w:val="00A525B4"/>
    <w:rsid w:val="00A52E8B"/>
    <w:rsid w:val="00A66428"/>
    <w:rsid w:val="00A7184F"/>
    <w:rsid w:val="00A86BD9"/>
    <w:rsid w:val="00A9515A"/>
    <w:rsid w:val="00AA030E"/>
    <w:rsid w:val="00AA7314"/>
    <w:rsid w:val="00AA7CC1"/>
    <w:rsid w:val="00AE713D"/>
    <w:rsid w:val="00AF17C7"/>
    <w:rsid w:val="00AF3848"/>
    <w:rsid w:val="00B06138"/>
    <w:rsid w:val="00B1375D"/>
    <w:rsid w:val="00B23187"/>
    <w:rsid w:val="00B32C5F"/>
    <w:rsid w:val="00B33C51"/>
    <w:rsid w:val="00B410F0"/>
    <w:rsid w:val="00B432B8"/>
    <w:rsid w:val="00B70ED6"/>
    <w:rsid w:val="00B7321E"/>
    <w:rsid w:val="00BA4182"/>
    <w:rsid w:val="00BA5BE4"/>
    <w:rsid w:val="00BF62FB"/>
    <w:rsid w:val="00C505EC"/>
    <w:rsid w:val="00C506E1"/>
    <w:rsid w:val="00C50F34"/>
    <w:rsid w:val="00C5261C"/>
    <w:rsid w:val="00C72621"/>
    <w:rsid w:val="00C93E05"/>
    <w:rsid w:val="00CB14BC"/>
    <w:rsid w:val="00CB5B79"/>
    <w:rsid w:val="00CB78C8"/>
    <w:rsid w:val="00CE108B"/>
    <w:rsid w:val="00CF28E6"/>
    <w:rsid w:val="00CF6920"/>
    <w:rsid w:val="00D01DBA"/>
    <w:rsid w:val="00D05DFD"/>
    <w:rsid w:val="00D25BDC"/>
    <w:rsid w:val="00D264CD"/>
    <w:rsid w:val="00D317EC"/>
    <w:rsid w:val="00D44625"/>
    <w:rsid w:val="00D451FF"/>
    <w:rsid w:val="00D635D2"/>
    <w:rsid w:val="00D672A6"/>
    <w:rsid w:val="00D70D7A"/>
    <w:rsid w:val="00D8096E"/>
    <w:rsid w:val="00D827A1"/>
    <w:rsid w:val="00D95BD5"/>
    <w:rsid w:val="00DA3808"/>
    <w:rsid w:val="00DB0BE6"/>
    <w:rsid w:val="00DC2ECC"/>
    <w:rsid w:val="00DC4184"/>
    <w:rsid w:val="00DD1B21"/>
    <w:rsid w:val="00E149BB"/>
    <w:rsid w:val="00E151DC"/>
    <w:rsid w:val="00E216B3"/>
    <w:rsid w:val="00E320C7"/>
    <w:rsid w:val="00E54B67"/>
    <w:rsid w:val="00E757D7"/>
    <w:rsid w:val="00E80A92"/>
    <w:rsid w:val="00E81B4A"/>
    <w:rsid w:val="00E92107"/>
    <w:rsid w:val="00EA6322"/>
    <w:rsid w:val="00EB23C8"/>
    <w:rsid w:val="00EB7296"/>
    <w:rsid w:val="00EC7571"/>
    <w:rsid w:val="00ED2CD5"/>
    <w:rsid w:val="00ED48A2"/>
    <w:rsid w:val="00ED5FA7"/>
    <w:rsid w:val="00EE6AEF"/>
    <w:rsid w:val="00EE7A5F"/>
    <w:rsid w:val="00F17B05"/>
    <w:rsid w:val="00F30116"/>
    <w:rsid w:val="00F412E6"/>
    <w:rsid w:val="00F458EB"/>
    <w:rsid w:val="00F7456D"/>
    <w:rsid w:val="00F84B8B"/>
    <w:rsid w:val="00FA2585"/>
    <w:rsid w:val="00FB0C93"/>
    <w:rsid w:val="00FF7D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0C8A"/>
  <w15:chartTrackingRefBased/>
  <w15:docId w15:val="{05118940-31D2-4DB9-A53B-8C31D4C3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aragraph"/>
    <w:qFormat/>
    <w:rsid w:val="00CF28E6"/>
    <w:pPr>
      <w:spacing w:after="40" w:line="36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38"/>
    <w:pPr>
      <w:ind w:left="720"/>
      <w:contextualSpacing/>
    </w:pPr>
  </w:style>
  <w:style w:type="character" w:styleId="CommentReference">
    <w:name w:val="annotation reference"/>
    <w:basedOn w:val="DefaultParagraphFont"/>
    <w:uiPriority w:val="99"/>
    <w:semiHidden/>
    <w:unhideWhenUsed/>
    <w:rsid w:val="007B548A"/>
    <w:rPr>
      <w:sz w:val="16"/>
      <w:szCs w:val="16"/>
    </w:rPr>
  </w:style>
  <w:style w:type="paragraph" w:styleId="CommentText">
    <w:name w:val="annotation text"/>
    <w:basedOn w:val="Normal"/>
    <w:link w:val="CommentTextChar"/>
    <w:uiPriority w:val="99"/>
    <w:unhideWhenUsed/>
    <w:rsid w:val="007B548A"/>
    <w:pPr>
      <w:spacing w:line="240" w:lineRule="auto"/>
    </w:pPr>
    <w:rPr>
      <w:sz w:val="20"/>
      <w:szCs w:val="20"/>
    </w:rPr>
  </w:style>
  <w:style w:type="character" w:customStyle="1" w:styleId="CommentTextChar">
    <w:name w:val="Comment Text Char"/>
    <w:basedOn w:val="DefaultParagraphFont"/>
    <w:link w:val="CommentText"/>
    <w:uiPriority w:val="99"/>
    <w:rsid w:val="007B548A"/>
    <w:rPr>
      <w:sz w:val="20"/>
      <w:szCs w:val="20"/>
    </w:rPr>
  </w:style>
  <w:style w:type="paragraph" w:styleId="CommentSubject">
    <w:name w:val="annotation subject"/>
    <w:basedOn w:val="CommentText"/>
    <w:next w:val="CommentText"/>
    <w:link w:val="CommentSubjectChar"/>
    <w:uiPriority w:val="99"/>
    <w:semiHidden/>
    <w:unhideWhenUsed/>
    <w:rsid w:val="007B548A"/>
    <w:rPr>
      <w:b/>
      <w:bCs/>
    </w:rPr>
  </w:style>
  <w:style w:type="character" w:customStyle="1" w:styleId="CommentSubjectChar">
    <w:name w:val="Comment Subject Char"/>
    <w:basedOn w:val="CommentTextChar"/>
    <w:link w:val="CommentSubject"/>
    <w:uiPriority w:val="99"/>
    <w:semiHidden/>
    <w:rsid w:val="007B548A"/>
    <w:rPr>
      <w:b/>
      <w:bCs/>
      <w:sz w:val="20"/>
      <w:szCs w:val="20"/>
    </w:rPr>
  </w:style>
  <w:style w:type="paragraph" w:styleId="FootnoteText">
    <w:name w:val="footnote text"/>
    <w:basedOn w:val="Normal"/>
    <w:link w:val="FootnoteTextChar"/>
    <w:uiPriority w:val="99"/>
    <w:semiHidden/>
    <w:unhideWhenUsed/>
    <w:rsid w:val="004A44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407"/>
    <w:rPr>
      <w:sz w:val="20"/>
      <w:szCs w:val="20"/>
    </w:rPr>
  </w:style>
  <w:style w:type="character" w:styleId="FootnoteReference">
    <w:name w:val="footnote reference"/>
    <w:basedOn w:val="DefaultParagraphFont"/>
    <w:uiPriority w:val="99"/>
    <w:semiHidden/>
    <w:unhideWhenUsed/>
    <w:rsid w:val="004A4407"/>
    <w:rPr>
      <w:vertAlign w:val="superscript"/>
    </w:rPr>
  </w:style>
  <w:style w:type="paragraph" w:styleId="Header">
    <w:name w:val="header"/>
    <w:basedOn w:val="Normal"/>
    <w:link w:val="HeaderChar"/>
    <w:uiPriority w:val="99"/>
    <w:unhideWhenUsed/>
    <w:rsid w:val="00A51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D6B"/>
  </w:style>
  <w:style w:type="paragraph" w:styleId="Footer">
    <w:name w:val="footer"/>
    <w:basedOn w:val="Normal"/>
    <w:link w:val="FooterChar"/>
    <w:uiPriority w:val="99"/>
    <w:unhideWhenUsed/>
    <w:rsid w:val="00A51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D6B"/>
  </w:style>
  <w:style w:type="table" w:styleId="TableGrid">
    <w:name w:val="Table Grid"/>
    <w:basedOn w:val="TableNormal"/>
    <w:uiPriority w:val="39"/>
    <w:rsid w:val="0033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0CDF"/>
    <w:pPr>
      <w:spacing w:after="0" w:line="240" w:lineRule="auto"/>
    </w:pPr>
  </w:style>
  <w:style w:type="character" w:styleId="Hyperlink">
    <w:name w:val="Hyperlink"/>
    <w:basedOn w:val="DefaultParagraphFont"/>
    <w:uiPriority w:val="99"/>
    <w:unhideWhenUsed/>
    <w:rsid w:val="00E757D7"/>
    <w:rPr>
      <w:color w:val="0563C1" w:themeColor="hyperlink"/>
      <w:u w:val="single"/>
    </w:rPr>
  </w:style>
  <w:style w:type="character" w:styleId="UnresolvedMention">
    <w:name w:val="Unresolved Mention"/>
    <w:basedOn w:val="DefaultParagraphFont"/>
    <w:uiPriority w:val="99"/>
    <w:semiHidden/>
    <w:unhideWhenUsed/>
    <w:rsid w:val="00E757D7"/>
    <w:rPr>
      <w:color w:val="605E5C"/>
      <w:shd w:val="clear" w:color="auto" w:fill="E1DFDD"/>
    </w:rPr>
  </w:style>
  <w:style w:type="paragraph" w:customStyle="1" w:styleId="Style1">
    <w:name w:val="Style1"/>
    <w:basedOn w:val="Normal"/>
    <w:link w:val="Style1Char"/>
    <w:autoRedefine/>
    <w:qFormat/>
    <w:rsid w:val="00477256"/>
    <w:pPr>
      <w:spacing w:after="0"/>
    </w:pPr>
    <w:rPr>
      <w:rFonts w:cs="Arial"/>
      <w:b/>
      <w:bCs/>
      <w:color w:val="538135" w:themeColor="accent6" w:themeShade="BF"/>
      <w:sz w:val="40"/>
      <w:szCs w:val="40"/>
    </w:rPr>
  </w:style>
  <w:style w:type="character" w:customStyle="1" w:styleId="Style1Char">
    <w:name w:val="Style1 Char"/>
    <w:basedOn w:val="DefaultParagraphFont"/>
    <w:link w:val="Style1"/>
    <w:rsid w:val="00477256"/>
    <w:rPr>
      <w:rFonts w:ascii="Arial" w:hAnsi="Arial" w:cs="Arial"/>
      <w:b/>
      <w:bCs/>
      <w:color w:val="538135" w:themeColor="accent6" w:themeShade="BF"/>
      <w:sz w:val="40"/>
      <w:szCs w:val="40"/>
    </w:rPr>
  </w:style>
  <w:style w:type="paragraph" w:customStyle="1" w:styleId="Subheading">
    <w:name w:val="Subheading"/>
    <w:basedOn w:val="Normal"/>
    <w:link w:val="SubheadingChar"/>
    <w:qFormat/>
    <w:rsid w:val="0095585E"/>
    <w:pPr>
      <w:spacing w:after="0"/>
    </w:pPr>
    <w:rPr>
      <w:rFonts w:cs="Arial"/>
      <w:b/>
      <w:bCs/>
      <w:color w:val="213C27"/>
      <w:sz w:val="28"/>
      <w:szCs w:val="24"/>
    </w:rPr>
  </w:style>
  <w:style w:type="character" w:customStyle="1" w:styleId="SubheadingChar">
    <w:name w:val="Subheading Char"/>
    <w:basedOn w:val="DefaultParagraphFont"/>
    <w:link w:val="Subheading"/>
    <w:rsid w:val="0095585E"/>
    <w:rPr>
      <w:rFonts w:ascii="Arial" w:hAnsi="Arial" w:cs="Arial"/>
      <w:b/>
      <w:bCs/>
      <w:color w:val="213C27"/>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43629">
      <w:bodyDiv w:val="1"/>
      <w:marLeft w:val="0"/>
      <w:marRight w:val="0"/>
      <w:marTop w:val="0"/>
      <w:marBottom w:val="0"/>
      <w:divBdr>
        <w:top w:val="none" w:sz="0" w:space="0" w:color="auto"/>
        <w:left w:val="none" w:sz="0" w:space="0" w:color="auto"/>
        <w:bottom w:val="none" w:sz="0" w:space="0" w:color="auto"/>
        <w:right w:val="none" w:sz="0" w:space="0" w:color="auto"/>
      </w:divBdr>
    </w:div>
    <w:div w:id="8817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image" Target="media/image6.png"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s://privacy.org.nz/publications/guidance-resources/ai/" TargetMode="External" Id="rId17" /><Relationship Type="http://schemas.openxmlformats.org/officeDocument/2006/relationships/hyperlink" Target="https://privacy.org.nz/resources-2/renting/" TargetMode="External" Id="rId16" /><Relationship Type="http://schemas.openxmlformats.org/officeDocument/2006/relationships/image" Target="media/image8.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privacy.org.nz/publications/guidance-resources/ai/" TargetMode="External" Id="rId15" /><Relationship Type="http://schemas.openxmlformats.org/officeDocument/2006/relationships/header" Target="header1.xml" Id="rId10" /><Relationship Type="http://schemas.openxmlformats.org/officeDocument/2006/relationships/image" Target="media/image7.png"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privacy.org.nz/resources-2/renting/" TargetMode="External" Id="rId14" /><Relationship Type="http://schemas.openxmlformats.org/officeDocument/2006/relationships/theme" Target="theme/theme1.xml" Id="rId22" /><Relationship Type="http://schemas.openxmlformats.org/officeDocument/2006/relationships/customXml" Target="/customXML/item3.xml" Id="R46e2d5fb95e64a96"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1FF6438FFE247FEBE65A199DA65E9C0" version="1.0.0">
  <systemFields>
    <field name="Objective-Id">
      <value order="0">A965608</value>
    </field>
    <field name="Objective-Title">
      <value order="0">Safeguarding children's privacy in NZ - full report</value>
    </field>
    <field name="Objective-Description">
      <value order="0"/>
    </field>
    <field name="Objective-CreationStamp">
      <value order="0">2024-04-15T22:46:14Z</value>
    </field>
    <field name="Objective-IsApproved">
      <value order="0">false</value>
    </field>
    <field name="Objective-IsPublished">
      <value order="0">true</value>
    </field>
    <field name="Objective-DatePublished">
      <value order="0">2024-04-15T22:46:14Z</value>
    </field>
    <field name="Objective-ModificationStamp">
      <value order="0">2024-04-15T22:47:57Z</value>
    </field>
    <field name="Objective-Owner">
      <value order="0">Ella Pearce</value>
    </field>
    <field name="Objective-Path">
      <value order="0">OPC Global Folder:File Plan:Policy Advice:OPC Policy Initiatives:Children and young people's privacy project:2024 Phase 2:Consultation report:Final documents for website (consult report upload)</value>
    </field>
    <field name="Objective-Parent">
      <value order="0">Final documents for website (consult report upload)</value>
    </field>
    <field name="Objective-State">
      <value order="0">Published</value>
    </field>
    <field name="Objective-VersionId">
      <value order="0">vA1494963</value>
    </field>
    <field name="Objective-Version">
      <value order="0">1.0</value>
    </field>
    <field name="Objective-VersionNumber">
      <value order="0">1</value>
    </field>
    <field name="Objective-VersionComment">
      <value order="0">Copied from document A958359.19</value>
    </field>
    <field name="Objective-FileNumber">
      <value order="0">P/2407</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5546-B1EC-4F0C-9D96-A5E9AFD5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18</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Pearce</dc:creator>
  <cp:keywords/>
  <dc:description/>
  <cp:lastModifiedBy>Ella Pearce</cp:lastModifiedBy>
  <cp:revision>78</cp:revision>
  <dcterms:created xsi:type="dcterms:W3CDTF">2024-01-10T22:59:00Z</dcterms:created>
  <dcterms:modified xsi:type="dcterms:W3CDTF">2024-04-15T04:36:00Z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A965608</vt:lpwstr>
  </property>
  <property fmtid="{D5CDD505-2E9C-101B-9397-08002B2CF9AE}" pid="4" name="Objective-Title">
    <vt:lpwstr>Safeguarding children's privacy in NZ - full report</vt:lpwstr>
  </property>
  <property fmtid="{D5CDD505-2E9C-101B-9397-08002B2CF9AE}" pid="5" name="Objective-Description">
    <vt:lpwstr/>
  </property>
  <property fmtid="{D5CDD505-2E9C-101B-9397-08002B2CF9AE}" pid="6" name="Objective-CreationStamp">
    <vt:filetime>2024-04-15T22:46:14Z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2024-04-15T22:46:14Z</vt:filetime>
  </property>
  <property fmtid="{D5CDD505-2E9C-101B-9397-08002B2CF9AE}" pid="10" name="Objective-ModificationStamp">
    <vt:filetime>2024-04-15T22:47:57Z</vt:filetime>
  </property>
  <property fmtid="{D5CDD505-2E9C-101B-9397-08002B2CF9AE}" pid="11" name="Objective-Owner">
    <vt:lpwstr>Ella Pearce</vt:lpwstr>
  </property>
  <property fmtid="{D5CDD505-2E9C-101B-9397-08002B2CF9AE}" pid="12" name="Objective-Path">
    <vt:lpwstr>OPC Global Folder:File Plan:Policy Advice:OPC Policy Initiatives:Children and young people's privacy project:2024 Phase 2:Consultation report:Final documents for website (consult report upload)</vt:lpwstr>
  </property>
  <property fmtid="{D5CDD505-2E9C-101B-9397-08002B2CF9AE}" pid="13" name="Objective-Parent">
    <vt:lpwstr>Final documents for website (consult report upload)</vt:lpwstr>
  </property>
  <property fmtid="{D5CDD505-2E9C-101B-9397-08002B2CF9AE}" pid="14" name="Objective-State">
    <vt:lpwstr>Published</vt:lpwstr>
  </property>
  <property fmtid="{D5CDD505-2E9C-101B-9397-08002B2CF9AE}" pid="15" name="Objective-VersionId">
    <vt:lpwstr>vA1494963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Copied from document A958359.19</vt:lpwstr>
  </property>
  <property fmtid="{D5CDD505-2E9C-101B-9397-08002B2CF9AE}" pid="19" name="Objective-FileNumber">
    <vt:lpwstr>P/2407</vt:lpwstr>
  </property>
  <property fmtid="{D5CDD505-2E9C-101B-9397-08002B2CF9AE}" pid="20" name="Objective-Classification">
    <vt:lpwstr/>
  </property>
  <property fmtid="{D5CDD505-2E9C-101B-9397-08002B2CF9AE}" pid="21" name="Objective-Caveats">
    <vt:lpwstr/>
  </property>
</Properties>
</file>